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Default Extension="pdf" ContentType="application/pd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0B2" w:rsidRPr="00D70ADF" w:rsidRDefault="003150B2">
      <w:pPr>
        <w:rPr>
          <w:rFonts w:ascii="Times New Roman" w:hAnsi="Times New Roman"/>
          <w:b/>
        </w:rPr>
      </w:pPr>
      <w:r w:rsidRPr="00D70ADF">
        <w:rPr>
          <w:rFonts w:ascii="Times New Roman" w:hAnsi="Times New Roman"/>
          <w:b/>
        </w:rPr>
        <w:t>Introduction</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Over the past decade we have seen a tremendous increase in research on alpha oscillations and their function in our brain. They were originally discovered by Berger in the late 1920’s (Berger, 1929) and were mostly considered to be an ‘idling rhythm’ (Pfurtscheller, Stancak, &amp; Neuper, 1996) throughout the 20th century, given that their activity is strongest when people rest and close their eyes. It was not until the turn of the century that different views started to emerge. It has now been shown that alpha activity increases with cognitive load in a working memory task (Jensen, Gelfand, Kounios, &amp; Lisman, 2002) and that it increases over occipital areas when attending to auditory input (Fu et al., 2001). The latter is in contrast to a decrease in alpha activity when someone attends covertly to visual input (Worden, Foxe, Wang, &amp; Simpson, 2000).  </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Of particular interest to our study are these findings by Worden et al. in 2000. They show that when one covertly attends to either the left or right visual hemifield alpha activity decreases in the contralateral posterior hemisphere compared to the ipsilateral hemisphere. In other words covert attention brings about a posterior lateralization in alpha activity. Based upon these and subsequent findings (Thut, Nietzel, Brandt, &amp; Pascual-Leone, 2006; Rihs, Michel, &amp; Thut, 2007) it has been hypothesized that alpha activity serves to inhibit task irrelevant regions as to allocate resources to regions involved (Klimesch, Sauseng, &amp; Hanslmayr, 2007); i.e. when one covertly attends to the right hemifield, a relative decrease in the right posterior hemisphere compared to the left might reflect facilitation of processing of information from the right hemifield and inhibition  of information from the left hemifield. Several studies have shown that weak alpha activity in task irrelevant regions negatively influences task performance where strong alpha activity positively correlates with performance (Haegens, Osipova, Oostenveld, &amp; Jensen, 2010; Meeuwissen, Takashima, Fernández, &amp; Jensen, 2011). </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Given the reliability of the lateralization signal, studies have been performed investigating the suitability of this signal as a control signal for a BCI (Gerven, Bahramisharif, Heskes, &amp; Jensen, 2009; Bahramisharif, Gerven, Heskes, &amp; Jensen, 2010) </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 As most BCI’s record their activity extra-cranially, it is inherent they pick up large amounts of noise from the environment, muscle movements, non-relevant brain regions, etc. BCI’s therefore have to be designed around a piece of activity that can be robustly detected. It has been shown that one can reliable decode left from right covert attention (Gerven et al., 2009). </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Previous results have been obtained using offline analyses, i.e. analyses performed after data collection. The aim of the current study is to investigate the possibilities of using alpha lateralization as an </w:t>
      </w:r>
      <w:r w:rsidRPr="00D70ADF">
        <w:rPr>
          <w:rFonts w:ascii="Times New Roman" w:hAnsi="Times New Roman" w:cs="Baskerville Semibold"/>
          <w:i/>
          <w:iCs/>
          <w:szCs w:val="20"/>
        </w:rPr>
        <w:t>online</w:t>
      </w:r>
      <w:r w:rsidRPr="00D70ADF">
        <w:rPr>
          <w:rFonts w:ascii="Times New Roman" w:hAnsi="Times New Roman" w:cs="Baskerville Semibold"/>
          <w:szCs w:val="20"/>
        </w:rPr>
        <w:t xml:space="preserve"> BCI control signal. Can we provide participants in real time with a visualization of their alpha lateralization in such a way that they feel in control? In other words, can we fast and reliably decode left from right covert attention? We show that we have been able to develop a system that is able to provide feedback at approximately 4 Hz. We have made promising steps that in the near future we will be able to provide feedback with accuracies up to 70% which will give participants a feeling of control (Kubler, Neumann, Wilhelm, Hinterberger, &amp; Birbaumer, 2004).    </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Developing a BCI based upon our current understanding of alpha activity, will in return help us to further increase our understanding of the function of these oscillations in the brain. If it is possible to develop a system that can robustly decode the direction of covert attention in realtime using posterior alpha lateralization, this strongly points in the direction of these two processes being closely connected. With a working BCI setup one could study the influence of providing feedback on lateralization and investigate the possibilities of training lateralization together with its potential behavioral consequences. Given a recent study indicating that alpha activity is under top-down control (Haegens, Haendel, &amp; Jensen, 2011) it could also be investigated how these top-down processes are influenced by feedback. </w:t>
      </w:r>
    </w:p>
    <w:p w:rsidR="003150B2" w:rsidRPr="00D70ADF" w:rsidRDefault="003150B2" w:rsidP="003150B2">
      <w:pPr>
        <w:rPr>
          <w:rFonts w:ascii="Times New Roman" w:hAnsi="Times New Roman" w:cs="Baskerville Semibold"/>
          <w:szCs w:val="20"/>
        </w:rPr>
      </w:pPr>
      <w:r w:rsidRPr="00D70ADF">
        <w:rPr>
          <w:rFonts w:ascii="Times New Roman" w:hAnsi="Times New Roman" w:cs="Baskerville Semibold"/>
          <w:szCs w:val="20"/>
        </w:rPr>
        <w:t>Because of our interest in this neuroscience behind alpha activity we have developed our system using magnetoencephalography (MEG). BCI’s are commonly implemented using electroencephalography (EEG) as this allows for portability. The higher spatial accuracy of MEG together with the current more fundamental approach to this project have made us decide for the neuroimaging method at hand.</w:t>
      </w:r>
    </w:p>
    <w:p w:rsidR="00D70ADF" w:rsidRDefault="00D70ADF" w:rsidP="003150B2">
      <w:pPr>
        <w:rPr>
          <w:rFonts w:ascii="Times New Roman" w:hAnsi="Times New Roman" w:cs="Baskerville Semibold"/>
          <w:szCs w:val="20"/>
        </w:rPr>
      </w:pPr>
    </w:p>
    <w:p w:rsidR="003150B2" w:rsidRPr="00D70ADF" w:rsidRDefault="003150B2" w:rsidP="003150B2">
      <w:pPr>
        <w:rPr>
          <w:rFonts w:ascii="Times New Roman" w:hAnsi="Times New Roman" w:cs="Baskerville Semibold"/>
          <w:szCs w:val="20"/>
        </w:rPr>
      </w:pPr>
    </w:p>
    <w:p w:rsidR="00F85F13" w:rsidRPr="00D70ADF" w:rsidRDefault="00F85F13" w:rsidP="00D70ADF">
      <w:pPr>
        <w:jc w:val="center"/>
        <w:rPr>
          <w:rFonts w:ascii="Times New Roman" w:hAnsi="Times New Roman" w:cs="Baskerville Semibold"/>
          <w:b/>
          <w:sz w:val="28"/>
          <w:szCs w:val="20"/>
        </w:rPr>
      </w:pPr>
      <w:r w:rsidRPr="00D70ADF">
        <w:rPr>
          <w:rFonts w:ascii="Times New Roman" w:hAnsi="Times New Roman" w:cs="Baskerville Semibold"/>
          <w:b/>
          <w:sz w:val="28"/>
          <w:szCs w:val="20"/>
        </w:rPr>
        <w:t>Experiment I</w:t>
      </w:r>
    </w:p>
    <w:p w:rsidR="00F85F13" w:rsidRPr="00D70ADF" w:rsidRDefault="00F85F13" w:rsidP="003150B2">
      <w:pPr>
        <w:rPr>
          <w:rFonts w:ascii="Times New Roman" w:hAnsi="Times New Roman" w:cs="Baskerville Semibold"/>
          <w:szCs w:val="20"/>
        </w:rPr>
      </w:pPr>
    </w:p>
    <w:p w:rsidR="00D70ADF" w:rsidRDefault="003150B2" w:rsidP="00D70ADF">
      <w:pPr>
        <w:jc w:val="center"/>
        <w:rPr>
          <w:rFonts w:ascii="Times New Roman" w:hAnsi="Times New Roman" w:cs="Baskerville Semibold"/>
          <w:b/>
          <w:szCs w:val="20"/>
        </w:rPr>
      </w:pPr>
      <w:r w:rsidRPr="00D70ADF">
        <w:rPr>
          <w:rFonts w:ascii="Times New Roman" w:hAnsi="Times New Roman" w:cs="Baskerville Semibold"/>
          <w:b/>
          <w:szCs w:val="20"/>
        </w:rPr>
        <w:t>Methods &amp; Materials</w:t>
      </w:r>
    </w:p>
    <w:p w:rsidR="003150B2" w:rsidRPr="00D70ADF" w:rsidRDefault="003150B2" w:rsidP="00D70ADF">
      <w:pPr>
        <w:jc w:val="center"/>
        <w:rPr>
          <w:rFonts w:ascii="Times New Roman" w:hAnsi="Times New Roman" w:cs="Baskerville Semibold"/>
          <w:b/>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In order to create a robust BCI, we had to develop a system that was both fast and reliable. In this method section we first describe the setup of the system and how we optimized its speed. This is followed by the description of the experiment that was implemented to test the system and the various analyses that were performed subsequently to control the reliability of the system.   </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u w:val="single"/>
        </w:rPr>
      </w:pPr>
      <w:r w:rsidRPr="00D70ADF">
        <w:rPr>
          <w:rFonts w:ascii="Times New Roman" w:hAnsi="Times New Roman" w:cs="Baskerville Semibold"/>
          <w:szCs w:val="20"/>
          <w:u w:val="single"/>
        </w:rPr>
        <w:t>Setup of the system</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The feedback loop</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In a BCI setup one has to be able to process brain activity in realtime and provide output based upon this activity. In other words one has to create a loop: the participant performs a task, their brain activity is measured, processed and translated into output. If participants can perceive the output, the loop is closed, if not the loop is open. In our setup we want to provide participants with feedback on task performance, so we constructed a closed-loop BCI. A schematic overview of this loop is depicted in Figure 1. The loop as we describe it can be used for any closed loop MEG experiment.</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Participants performed a task in the MEG scanner. We recorded brain activity with a CTF MEG System (VSM MedTech Ltd., Coquitlam, British Columbia, Canada). This system provides whole-head coverage using 275 DC SQUID axial gradiometers with a sampling frequency of 1200 Hz. Simultaneously we also tracked gaze position using an Eyelink 1000 eye tracker (SR Research Ltd. Kanata, Ontario, Canada) sampling at a frequency of 2000 Hz.</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Raw data was sent to the acquisition machine, Acquisition PC in Figure 1. To be able to process this data in realtime we used the FieldTrip software package (Oostenveld, Fries, Maris, &amp; Scho</w:t>
      </w:r>
      <w:r w:rsidRPr="00D70ADF">
        <w:rPr>
          <w:rFonts w:ascii="Times New Roman" w:hAnsi="Lucida Grande" w:cs="Lucida Grande"/>
          <w:szCs w:val="20"/>
        </w:rPr>
        <w:t>ﬀ</w:t>
      </w:r>
      <w:r w:rsidRPr="00D70ADF">
        <w:rPr>
          <w:rFonts w:ascii="Times New Roman" w:hAnsi="Times New Roman" w:cs="Baskerville Semibold"/>
          <w:szCs w:val="20"/>
        </w:rPr>
        <w:t xml:space="preserve">elen, 2011). This toolbox includes a software agent, Acq2ft, that allows the user to stream parts of the raw data into an intermediate in-memory buffer that is part of the toolbox as well. This buffer can be read by external agents. In our setup the buffer was running on the Acquisition PC. We streamed all available channels into the buffer without adjustments. </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On a separate machine, the Realtime PC, a MATLAB (2010a, The MathWorks Inc., Natick, MA, 2010) script continuously read data from the buffer, processed it and, based upon its findings, wrote triggers back into the same buffer. This process is the most time consuming part of the loop. In the following Paragraph ‘Optimizing speed’ we provide more details on its implementation. Reading from and writing to the buffer was done using low-level functions from the FieldTrip toolbox.</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To close the loop we used a third machine, the Stimulus PC. This machine read the feedback triggers from the buffer on the Acquisition PC and translated them into visual feedback that was displayed to the participant. Simultaneously with the presentation of the feedback, this machine also wrote the corresponding triggers into the raw data stream that was stored in file to keep track of the provided feedback.</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Optimizing speed</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The bottle neck of the loop is reading and processing the data from the buffer. To optimize the speed of the loop, we had to optimize the speed with which these processes took place on the Realtime PC.</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The most straightforward way of continuously reading data from the buffer is to continuously read from the buffer header the sample numbers that are available in the buffer and import the latest samples. The process of reading the buffer header however is time consuming. We therefore constructed an algorithm that only had to read the buffer header once to determine the sample numbers available at the beginning of the trial. It subsequently calculated the most recent sample number in the buffer using a timer and the sampling frequency f</w:t>
      </w:r>
      <w:r w:rsidRPr="00D70ADF">
        <w:rPr>
          <w:rFonts w:ascii="Times New Roman" w:hAnsi="Times New Roman" w:cs="Baskerville Semibold"/>
          <w:szCs w:val="13"/>
          <w:vertAlign w:val="subscript"/>
        </w:rPr>
        <w:t>s</w:t>
      </w:r>
      <w:r w:rsidRPr="00D70ADF">
        <w:rPr>
          <w:rFonts w:ascii="Times New Roman" w:hAnsi="Times New Roman" w:cs="Baskerville Semibold"/>
          <w:szCs w:val="20"/>
        </w:rPr>
        <w:t>:</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noProof/>
          <w:szCs w:val="20"/>
          <w:lang w:eastAsia="nl-NL"/>
        </w:rPr>
        <w:drawing>
          <wp:inline distT="0" distB="0" distL="0" distR="0">
            <wp:extent cx="1917700" cy="195580"/>
            <wp:effectExtent l="2540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xmlns:ma="http://schemas.microsoft.com/office/mac/drawingml/2008/main">
                    <ve:Choice Requires="ma">
                      <pic:blipFill>
                        <a:blip r:embed="rId4"/>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5"/>
                        <a:srcRect/>
                        <a:stretch>
                          <a:fillRect/>
                        </a:stretch>
                      </pic:blipFill>
                    </ve:Fallback>
                  </ve:AlternateContent>
                  <pic:spPr bwMode="auto">
                    <a:xfrm>
                      <a:off x="0" y="0"/>
                      <a:ext cx="1917700" cy="195580"/>
                    </a:xfrm>
                    <a:prstGeom prst="rect">
                      <a:avLst/>
                    </a:prstGeom>
                    <a:noFill/>
                    <a:ln w="9525">
                      <a:noFill/>
                      <a:miter lim="800000"/>
                      <a:headEnd/>
                      <a:tailEnd/>
                    </a:ln>
                  </pic:spPr>
                </pic:pic>
              </a:graphicData>
            </a:graphic>
          </wp:inline>
        </w:drawing>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With t</w:t>
      </w:r>
      <w:r w:rsidRPr="00D70ADF">
        <w:rPr>
          <w:rFonts w:ascii="Times New Roman" w:hAnsi="Times New Roman" w:cs="Baskerville Semibold"/>
          <w:szCs w:val="13"/>
          <w:vertAlign w:val="subscript"/>
        </w:rPr>
        <w:t>0</w:t>
      </w:r>
      <w:r w:rsidRPr="00D70ADF">
        <w:rPr>
          <w:rFonts w:ascii="Times New Roman" w:hAnsi="Times New Roman" w:cs="Baskerville Semibold"/>
          <w:szCs w:val="20"/>
        </w:rPr>
        <w:t xml:space="preserve"> the start time of the trial and sample</w:t>
      </w:r>
      <w:r w:rsidRPr="00D70ADF">
        <w:rPr>
          <w:rFonts w:ascii="Times New Roman" w:hAnsi="Times New Roman" w:cs="Baskerville Semibold"/>
          <w:szCs w:val="13"/>
          <w:vertAlign w:val="superscript"/>
        </w:rPr>
        <w:t>*</w:t>
      </w:r>
      <w:r w:rsidRPr="00D70ADF">
        <w:rPr>
          <w:rFonts w:ascii="Times New Roman" w:hAnsi="Times New Roman" w:cs="Baskerville Semibold"/>
          <w:szCs w:val="20"/>
        </w:rPr>
        <w:t xml:space="preserve"> the latest sample number in buffer. As samples are written to the buffer in blocks, this sample might not always be immediately available. Using lower level functions from the FieldTrip toolbox we waited until the calculated sample was available and then immediately imported the latest samples.</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To optimize the processing of the imported data we adjusted existing FieldTrip scripts to meet the need of realtime analysis. The analyses we performed are described in the Section ‘Analyses’.  </w:t>
      </w:r>
    </w:p>
    <w:p w:rsidR="003150B2" w:rsidRPr="00D70ADF" w:rsidRDefault="003150B2" w:rsidP="003150B2">
      <w:pPr>
        <w:rPr>
          <w:rFonts w:ascii="Times New Roman" w:hAnsi="Times New Roman" w:cs="Baskerville Semibold"/>
          <w:szCs w:val="20"/>
        </w:rPr>
      </w:pPr>
      <w:r w:rsidRPr="00D70ADF">
        <w:rPr>
          <w:rFonts w:ascii="Times New Roman" w:hAnsi="Times New Roman" w:cs="Baskerville Semibold"/>
          <w:szCs w:val="20"/>
        </w:rPr>
        <w:t>Our entire algorithm is displayed in Figure 2. After trial onset, feedback calculation did not start until the time corresponding to our analysis window had past. Every time data was imported, an entire analysis window was read in. With the time between subsequent read ins being smaller than the length of the analysis window, a sliding time window effect was created. After read in, the last 100 ms of the segment were checked for eye artifacts. Ideally all the new samples compared the previous read in should have been checked for eye artifacts. If an eye artifact occurred, the loop continued, but feedback determination would not be resumed until at least one eye artifact free analysis window had past.</w:t>
      </w:r>
    </w:p>
    <w:p w:rsidR="003150B2" w:rsidRPr="00D70ADF" w:rsidRDefault="003150B2" w:rsidP="003150B2">
      <w:pPr>
        <w:rPr>
          <w:rFonts w:ascii="Times New Roman" w:hAnsi="Times New Roman" w:cs="Baskerville Semibold"/>
          <w:szCs w:val="20"/>
        </w:rPr>
      </w:pPr>
    </w:p>
    <w:p w:rsidR="003150B2" w:rsidRPr="00D70ADF" w:rsidRDefault="003150B2" w:rsidP="003150B2">
      <w:pPr>
        <w:rPr>
          <w:rFonts w:ascii="Times New Roman" w:hAnsi="Times New Roman" w:cs="Baskerville Semibold"/>
          <w:szCs w:val="20"/>
          <w:u w:val="single"/>
        </w:rPr>
      </w:pPr>
      <w:r w:rsidRPr="00D70ADF">
        <w:rPr>
          <w:rFonts w:ascii="Times New Roman" w:hAnsi="Times New Roman" w:cs="Baskerville Semibold"/>
          <w:szCs w:val="20"/>
          <w:u w:val="single"/>
        </w:rPr>
        <w:t>Experimental Paradigm</w:t>
      </w:r>
    </w:p>
    <w:p w:rsidR="003150B2" w:rsidRPr="00D70ADF" w:rsidRDefault="003150B2" w:rsidP="003150B2">
      <w:pPr>
        <w:rPr>
          <w:rFonts w:ascii="Times New Roman" w:hAnsi="Times New Roman" w:cs="Baskerville Semibold"/>
          <w:szCs w:val="20"/>
          <w:u w:val="single"/>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Our experiment consisted of two tasks: a training task and a feedback task. During the training task we collected data that we used to train a classifier to distinguish between the participant covertly attending to the left and covertly attending to the right. In the feedback task we used this classifier to provide feedback based upon whether measured activity corresponded more to the left attention or to the right attention training data. We ensured that the setup for the feedback task corresponded as much as possible to the setup of the training task. In the remainder of this section we will describe the setup of these two different tasks. In the following section we will go into the details of the analysis and the classification.</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The training task</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The training task is shown in Figure 3. Participants saw an orange colored dot with a white fixation cross at the center of a black screen. On each side of the dot a wheel was displayed. The center of these wheels was located at a distance of 6 visual degrees from the center of the fixation cross (Bahramisharif, Heskes, Jensen, &amp; Gerven, 2011),  twenty degrees below the midline of the screen (Bahramisharif et al., 2010).</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Participants received a cue, by means of an arrow that was displayed for 0.5 seconds, to covertly attend to the center of the wheel on the cued side of the dot. Their task was to detect a grey line that would appear in the center of that wheel while maintaining their fixation at the center of the screen. We displayed the line for 100 milliseconds after a randomized interval of 1.5 - 2 seconds. Participants had to report whether the line was oriented towards the left or right. They responded using two buttons on a button box at their hand of choice. They had a maximum of two seconds after stimulus display to respond. If a subject correctly detected the orientation of the line, the central dot would color green. If they incorrectly detected it or missed it, the dot turned red. </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To balance visual input, simultaneously with stimulus presentation a second line appeared in the center of the wheel on the unattended side. The orientation of this line was counterbalanced across trials. Moreover, after cue presentation the wheels started rotating. This in order to mimic the feedback task as much possible, where feedback was provided by rotation of the wheels. The wheels rotated either both to the left or both the right. For the training task the rotation direction was counterbalanced for the directions of covert attention and for the orientation of the stimuli.   </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Participants went through six blocks of each sixteen trials, randomized equally between covertly attending to the left and right, resulting in 48 left and 48 right attention trials. The intertrial interval was 2 seconds. We adjusted the contrast of the lines using an adaptive staircase procedure to obtain an overall accuracy of approximately 80%. Performance was determined by the last five training trials. If performance on these trials was above 80% we decreased the contrast, if performance was below 80% contrast was increased.</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The feedback task</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The setup for the feedback task was very similar to the setup for the training task. Participants saw the central orange dot with the fixation cross and the two wheels. After cue presentation they were instructed to covertly attend to the center of the wheel on the cued side. From this point on they received feedback on their covert attention as inferred by the classifier based upon their posterior alpha lateralization.</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Feedback was presented by the rotation of both wheels. The rotation speed v</w:t>
      </w:r>
      <w:r w:rsidRPr="00D70ADF">
        <w:rPr>
          <w:rFonts w:ascii="Times New Roman" w:hAnsi="Times New Roman" w:cs="Baskerville Semibold"/>
          <w:szCs w:val="13"/>
          <w:vertAlign w:val="subscript"/>
        </w:rPr>
        <w:t>r</w:t>
      </w:r>
      <w:r w:rsidRPr="00D70ADF">
        <w:rPr>
          <w:rFonts w:ascii="Times New Roman" w:hAnsi="Times New Roman" w:cs="Baskerville Semibold"/>
          <w:szCs w:val="20"/>
        </w:rPr>
        <w:t xml:space="preserve"> was updated every time the classifier wrote a trigger to the buffer. Triggers worked in an accelerator type fashion, using the following formula:</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noProof/>
          <w:szCs w:val="20"/>
          <w:lang w:eastAsia="nl-NL"/>
        </w:rPr>
        <w:drawing>
          <wp:inline distT="0" distB="0" distL="0" distR="0">
            <wp:extent cx="1899920" cy="177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6"/>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7"/>
                        <a:srcRect/>
                        <a:stretch>
                          <a:fillRect/>
                        </a:stretch>
                      </pic:blipFill>
                    </ve:Fallback>
                  </ve:AlternateContent>
                  <pic:spPr bwMode="auto">
                    <a:xfrm>
                      <a:off x="0" y="0"/>
                      <a:ext cx="1899920" cy="177800"/>
                    </a:xfrm>
                    <a:prstGeom prst="rect">
                      <a:avLst/>
                    </a:prstGeom>
                    <a:noFill/>
                    <a:ln w="9525">
                      <a:noFill/>
                      <a:miter lim="800000"/>
                      <a:headEnd/>
                      <a:tailEnd/>
                    </a:ln>
                  </pic:spPr>
                </pic:pic>
              </a:graphicData>
            </a:graphic>
          </wp:inline>
        </w:drawing>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With n running over the moments when feedback is updated,  trigger having value -1 for left and +1 for right and acc the acceleration with a value of 0.03 degrees per cycle per trigger. The initial rotation speed was 0. Rotation speed is expressed in degrees per cycle referring the amount of degrees a wheel is rotated in one OpenGL (Woo, Neider, Davis, &amp; Shreiner, 1999) display cycle. Through this implementation multiple triggers for the same direction caused the wheels to speed up and triggers in the opposite direction would initially slow the wheels down, before causing them to start rotating in the opposite direction.</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One feedback trial was ten seconds long. At the end of each trial we showed participants how far they had succeeded in rotating the wheels in the cued direction. The feedback task consisted of 40 trials. Participants decided for themselves when to move on to the next trial.</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Eye tracking</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As we had to make sure participants covertly attended and kept their fixation at the center of the screen, eye tracking was an important part of our set up.</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For the training task we instructed participants not to move or blink their eyes between cue presentation and response. As we used the data from the training task for subsequent classification of the data in the feedback task, it was important that this data was free from eye artifacts. Therefore if an eye blink or eye movement was detected during this period, we immediately presented feedback to the participant by removing the wheels from the display and changing the color of the central dot to red. The trial would then start over. </w:t>
      </w:r>
    </w:p>
    <w:p w:rsidR="003150B2" w:rsidRPr="00D70ADF" w:rsidRDefault="003150B2" w:rsidP="003150B2">
      <w:pPr>
        <w:rPr>
          <w:rFonts w:ascii="Times New Roman" w:hAnsi="Times New Roman" w:cs="Baskerville Semibold"/>
          <w:szCs w:val="20"/>
        </w:rPr>
      </w:pPr>
      <w:r w:rsidRPr="00D70ADF">
        <w:rPr>
          <w:rFonts w:ascii="Times New Roman" w:hAnsi="Times New Roman" w:cs="Baskerville Semibold"/>
          <w:szCs w:val="20"/>
        </w:rPr>
        <w:t>During the feedback task we encouraged participants to attempt not to move or blink their eyes during the length of a feedback trial. If we detected an eye blink or eye movement we changed the color of the central dot temporarily to red, but the trial continued. We stopped the online analysis for the length of an analysis window, while the wheels kept spinning with the rotation speed they had prior to the eye movement. This way we only classified time segments free of eye artifacts.</w:t>
      </w:r>
    </w:p>
    <w:p w:rsidR="003150B2" w:rsidRPr="00D70ADF" w:rsidRDefault="003150B2" w:rsidP="003150B2">
      <w:pPr>
        <w:rPr>
          <w:rFonts w:ascii="Times New Roman" w:hAnsi="Times New Roman" w:cs="Baskerville Semibold"/>
          <w:szCs w:val="20"/>
        </w:rPr>
      </w:pPr>
    </w:p>
    <w:p w:rsidR="003150B2" w:rsidRPr="00D70ADF" w:rsidRDefault="003150B2" w:rsidP="003150B2">
      <w:pPr>
        <w:rPr>
          <w:rFonts w:ascii="Times New Roman" w:hAnsi="Times New Roman" w:cs="Baskerville Semibold"/>
          <w:szCs w:val="20"/>
          <w:u w:val="single"/>
        </w:rPr>
      </w:pPr>
      <w:r w:rsidRPr="00D70ADF">
        <w:rPr>
          <w:rFonts w:ascii="Times New Roman" w:hAnsi="Times New Roman" w:cs="Baskerville Semibold"/>
          <w:szCs w:val="20"/>
          <w:u w:val="single"/>
        </w:rPr>
        <w:t>Analyses</w:t>
      </w:r>
    </w:p>
    <w:p w:rsidR="003150B2" w:rsidRPr="00D70ADF" w:rsidRDefault="003150B2" w:rsidP="003150B2">
      <w:pPr>
        <w:rPr>
          <w:rFonts w:ascii="Times New Roman" w:hAnsi="Times New Roman" w:cs="Baskerville Semibold"/>
          <w:szCs w:val="20"/>
          <w:u w:val="single"/>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The analysis we performed can be broken down into the analysis that occurred during the experiment, i.e. the online analysis, and the analysis we performed after the experiment was finished, the offline analysis. The online analysis consisted of two parts, starting with the processing of the data from the training task, followed by the processing of the data during the feedback trials. The additional offline analyses were performed for two reasons: to study the robustness of the experiment as it was executed and to look at potential ways of improving this robustness.</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To perform the described analyses we estimated for each sensor the planar gradient. Estimation was done using the signals from the sensor itself and its neighboring sensors (Bastiaansen &amp; Knosche, 2000). This way the highest activation is above the actual source (Hamalainen, Hari, Ilmoniemi, Knuutila, &amp; Lounasmaa, 1996), which allows us to test for the influence of separate sources for left and right covert attention.</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ONLINE ANALYSES</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The training task</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The aim of the training task is for our classifier to learn for each participant separately what the posterior alpha lateralization pattern looks like when they covertly attend to respectively the left and right hemifield. Therefore analysis of the training task consisted of calculating the average alpha power in all channels for left and right attention trials, followed by selecting the left and right posterior regions most sensitive to the lateralization process. These were then used to extract the relevant alpha powers for classification.</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The average alpha power was calculated by extracting at the end of every trial 700 ms of data prior to stimulus onset. These segments were preprocessed by demeaning and detrending them and applying a Hanning window. Alpha power was calculated for every channel by determining the power in the 8 - 12 Hz band using a Fast Fourier Transform (FFT). These alpha powers were averaged separately for left and right attention trials;</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To determine the sensors that were most sensitive to the lateralization process, we calculated for every sensor the alpha modulation index:</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D70ADF" w:rsidRDefault="00D70ADF"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Pr>
          <w:rFonts w:ascii="Times New Roman" w:hAnsi="Times New Roman" w:cs="Baskerville Semibold"/>
          <w:noProof/>
          <w:szCs w:val="20"/>
          <w:lang w:eastAsia="nl-NL"/>
        </w:rPr>
        <w:drawing>
          <wp:inline distT="0" distB="0" distL="0" distR="0">
            <wp:extent cx="1571625" cy="204470"/>
            <wp:effectExtent l="25400" t="0" r="317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ve:AlternateContent xmlns:ma="http://schemas.microsoft.com/office/mac/drawingml/2008/main">
                    <ve:Choice Requires="ma">
                      <pic:blipFill>
                        <a:blip r:embed="rId8"/>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9"/>
                        <a:srcRect/>
                        <a:stretch>
                          <a:fillRect/>
                        </a:stretch>
                      </pic:blipFill>
                    </ve:Fallback>
                  </ve:AlternateContent>
                  <pic:spPr bwMode="auto">
                    <a:xfrm>
                      <a:off x="0" y="0"/>
                      <a:ext cx="1571625" cy="204470"/>
                    </a:xfrm>
                    <a:prstGeom prst="rect">
                      <a:avLst/>
                    </a:prstGeom>
                    <a:noFill/>
                    <a:ln w="9525">
                      <a:noFill/>
                      <a:miter lim="800000"/>
                      <a:headEnd/>
                      <a:tailEnd/>
                    </a:ln>
                  </pic:spPr>
                </pic:pic>
              </a:graphicData>
            </a:graphic>
          </wp:inline>
        </w:drawing>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With </w:t>
      </w:r>
      <w:r w:rsidRPr="00D70ADF">
        <w:rPr>
          <w:rFonts w:ascii="Times New Roman" w:hAnsi="Times New Roman" w:cs="Times New Roman"/>
          <w:szCs w:val="20"/>
        </w:rPr>
        <w:t>α</w:t>
      </w:r>
      <w:r w:rsidRPr="00D70ADF">
        <w:rPr>
          <w:rFonts w:ascii="Times New Roman" w:hAnsi="Times New Roman" w:cs="Baskerville Semibold"/>
          <w:szCs w:val="13"/>
          <w:vertAlign w:val="subscript"/>
        </w:rPr>
        <w:t>L</w:t>
      </w:r>
      <w:r w:rsidRPr="00D70ADF">
        <w:rPr>
          <w:rFonts w:ascii="Times New Roman" w:hAnsi="Times New Roman" w:cs="Baskerville Semibold"/>
          <w:szCs w:val="20"/>
        </w:rPr>
        <w:t xml:space="preserve"> the average alpha power over left attention trials and </w:t>
      </w:r>
      <w:r w:rsidRPr="00D70ADF">
        <w:rPr>
          <w:rFonts w:ascii="Times New Roman" w:hAnsi="Times New Roman" w:cs="Times New Roman"/>
          <w:szCs w:val="20"/>
        </w:rPr>
        <w:t>α</w:t>
      </w:r>
      <w:r w:rsidRPr="00D70ADF">
        <w:rPr>
          <w:rFonts w:ascii="Times New Roman" w:hAnsi="Times New Roman" w:cs="Baskerville Semibold"/>
          <w:szCs w:val="13"/>
          <w:vertAlign w:val="subscript"/>
        </w:rPr>
        <w:t>R</w:t>
      </w:r>
      <w:r w:rsidRPr="00D70ADF">
        <w:rPr>
          <w:rFonts w:ascii="Times New Roman" w:hAnsi="Times New Roman" w:cs="Baskerville Semibold"/>
          <w:szCs w:val="20"/>
        </w:rPr>
        <w:t xml:space="preserve"> the average alpha power over right attention trials. Using these indices we determined a left and right posterior region of interest (ROI). For all channels we averaged their AMI with the AMI of the neighboring channels. The channel with highest average AMI formed together with its neighbors the left ROI. The channel with lowest average AMI formed together with its neighbors the right ROI. The channels for these regions of interest were selected from the parietal and occipital channels of the CTF MEG system.</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For these two regions of interest we calculated for every individual training trial the alpha power averaged over the channels in the region. The resulting 96 x 2 values (96 training trials, 2 regions of interest) together with the cued directions of attention were stored and used for classification.</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The feedback task</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Throughout a feedback trial we provided participants with feedback using the loop in Figure 2. We worked with an analysis window of 700 ms. Once a new segment of data had been read in, it was processed identically to the segments in the training task to calculate the average alpha power for the left and right region of interest. These two values were used to determine whether the measured activity was more likely to correspond to left or right covert attention.</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In this first pilot experiment we used the MATLAB built in linear discriminant analysis (LDA) to distinguish left from right covert attention. The LDA classifier uses our two dimensional training data (two regions of interest) to construct a vector that separates the left attention training trials form right attention trials. Subsequently it determines on what side of the line a newly provided two dimensional vector is located. We used this fast, easy to implement classifier for our this first experiment to gather data that we could subsequently analyze for potential better classification methods.</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OFFLINE ANALYSES</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Analyzing the results</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To analyze the robustness of our setup we looked at four different aspects. First we studied whether our paradigm was able to induce alpha lateralization. For this we calculated for the training and feedback task separately the AMI per channel. For the training task we calculated the AMI using the 2 x 48 training trials. For the feedback task we used all the segments of data that had been used for classification, independent of classified direction. All the segments extracted in the left attention feedback trials were considered to reflect covertly attending to the left and similarly for the right attention feedback trials. A topography plot was then constructed based upon the average AMI per channel.</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Secondly we looked at speed of classification. Feedback needs to be updated often enough to instill a feeling of continuous control. To calculate this feedback frequency we counted the number of times feedback was updated throughout a feedback trial and averaged this over trials. </w:t>
      </w:r>
    </w:p>
    <w:p w:rsidR="003150B2" w:rsidRPr="00D70ADF" w:rsidRDefault="003150B2" w:rsidP="003150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Our third measure of robustness was classifier performance. This was measured by taking all the moments feedback was updated and determining for what fraction of these moments the classified direction was equal to the cued direction of attention. This assumed that participants correctly covertly attended throughout the entire trial.</w:t>
      </w:r>
    </w:p>
    <w:p w:rsidR="00F85F13" w:rsidRPr="00D70ADF" w:rsidRDefault="00F85F13" w:rsidP="003150B2">
      <w:pPr>
        <w:rPr>
          <w:rFonts w:ascii="Times New Roman" w:hAnsi="Times New Roman" w:cs="Baskerville Semibold"/>
          <w:szCs w:val="20"/>
          <w:u w:val="single"/>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Lastly we studied whether alpha lateralization was an indicator for classifier performance. To quantify the lateralization we used the alpha lateralization index (ALI):</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noProof/>
          <w:szCs w:val="20"/>
          <w:lang w:eastAsia="nl-NL"/>
        </w:rPr>
        <w:drawing>
          <wp:inline distT="0" distB="0" distL="0" distR="0">
            <wp:extent cx="1642110" cy="470535"/>
            <wp:effectExtent l="25400" t="0" r="889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ve:AlternateContent xmlns:ma="http://schemas.microsoft.com/office/mac/drawingml/2008/main">
                    <ve:Choice Requires="ma">
                      <pic:blipFill>
                        <a:blip r:embed="rId10"/>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11"/>
                        <a:srcRect/>
                        <a:stretch>
                          <a:fillRect/>
                        </a:stretch>
                      </pic:blipFill>
                    </ve:Fallback>
                  </ve:AlternateContent>
                  <pic:spPr bwMode="auto">
                    <a:xfrm>
                      <a:off x="0" y="0"/>
                      <a:ext cx="1642110" cy="470535"/>
                    </a:xfrm>
                    <a:prstGeom prst="rect">
                      <a:avLst/>
                    </a:prstGeom>
                    <a:noFill/>
                    <a:ln w="9525">
                      <a:noFill/>
                      <a:miter lim="800000"/>
                      <a:headEnd/>
                      <a:tailEnd/>
                    </a:ln>
                  </pic:spPr>
                </pic:pic>
              </a:graphicData>
            </a:graphic>
          </wp:inline>
        </w:drawing>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With </w:t>
      </w:r>
      <w:r w:rsidRPr="00D70ADF">
        <w:rPr>
          <w:rFonts w:ascii="Times New Roman" w:hAnsi="Times New Roman" w:cs="Times New Roman"/>
          <w:szCs w:val="20"/>
        </w:rPr>
        <w:t>α</w:t>
      </w:r>
      <w:r w:rsidRPr="00D70ADF">
        <w:rPr>
          <w:rFonts w:ascii="Times New Roman" w:hAnsi="Times New Roman" w:cs="Baskerville Semibold"/>
          <w:szCs w:val="20"/>
        </w:rPr>
        <w:t xml:space="preserve"> the average alpha power in the indicated channels for a particular condition. We calculated the ALI using a set of sensors above the occipital cortex, as indicated in Figure 4. The average ALI for left attention training trials and the average ALI for left attention feedback trials were correlated with classifier performance on the left attention feedback trials. The same correlations were made for the right attention condition.  </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color w:val="B72122"/>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Potential improvements</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To study potential improvements to our first setup we constructed three additional classification algorithms. To get a more intuitive understanding of the classification process, we developed a template matching method. In this method we created a template for both left and right covert attention and used correlation analysis to distinguish left from right covert attention. Up to this point we have assumed that the training and feedback data follow the same distributions. If this assumption does not hold, classification is likely to be biased towards one direction. Therefore we also developed for both the LDA and the template matching method a classification scheme that corrected for potential biases. </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Within these additional offline analyses we made two adjustments to the analysis as it was described for the online process. Instead of calculating the alpha power in the 8 - 12 Hz band, we calculated the alpha power in the individual alpha band [IAF - 4; IAF + 2], with IAF the individual alpha frequency (Klimesch, 1999). Secondly we restricted the sensor selection for the regions of interest to the sensors as depicted in Figure 4 to be sure that we were classifying activity from occipital sources.  </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Template matching</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The idea behind our template matching method is to use the training task to construct a template for left covert attention and for right covert attention and subsequently correlate the incoming segments with both templates. The highest correlation gives the inferred direction of attention.</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To construct the templates we followed the same procedure as described for the training task in the online analysis, taking into account the previously mentioned adjustments. Per condition the template consisted of the average alpha power across trials for the individual channels in the regions of interest, corrected for the average alpha power in the regions of interest combined. This latter value was subtracted from every channel to have the template be based upon the difference in activation between the left and right sources. </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During the feedback task segments were processed similarly. The alpha power in the template channels was calculated and their mean power was subtracted from all channels. The resulting sample was correlated both with the left and right attention template and classified according to the highest correlation coefficient. </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LDA with bias correction</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To correct for potential biases in the LDA classification scheme, we made use of the posteriors the LDA classifier calculates to distinguish left from right covert attention. The posterior for e.g. left attention is the probability that a particular segment belongs to the class of left attention trials, given the the training data. The classifier calculates both posteriors and compares them. If the feedback data is from the exact same distribution as the training data and assuming an equal amount of left and right attention segments, this would result in an average posterior of 50% for both conditions. If there is a bias however one of these values is higher then the other.</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To correct for such a potential bias we calculated throughout the experiment the average posteriors and set the bias b to be the difference between both:</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noProof/>
          <w:szCs w:val="20"/>
          <w:lang w:eastAsia="nl-NL"/>
        </w:rPr>
        <w:drawing>
          <wp:inline distT="0" distB="0" distL="0" distR="0">
            <wp:extent cx="1260475" cy="381635"/>
            <wp:effectExtent l="2540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ve:AlternateContent xmlns:ma="http://schemas.microsoft.com/office/mac/drawingml/2008/main">
                    <ve:Choice Requires="ma">
                      <pic:blipFill>
                        <a:blip r:embed="rId12"/>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13"/>
                        <a:srcRect/>
                        <a:stretch>
                          <a:fillRect/>
                        </a:stretch>
                      </pic:blipFill>
                    </ve:Fallback>
                  </ve:AlternateContent>
                  <pic:spPr bwMode="auto">
                    <a:xfrm>
                      <a:off x="0" y="0"/>
                      <a:ext cx="1260475" cy="381635"/>
                    </a:xfrm>
                    <a:prstGeom prst="rect">
                      <a:avLst/>
                    </a:prstGeom>
                    <a:noFill/>
                    <a:ln w="9525">
                      <a:noFill/>
                      <a:miter lim="800000"/>
                      <a:headEnd/>
                      <a:tailEnd/>
                    </a:ln>
                  </pic:spPr>
                </pic:pic>
              </a:graphicData>
            </a:graphic>
          </wp:inline>
        </w:drawing>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With N the total number of segments classified up to that moment, P</w:t>
      </w:r>
      <w:r w:rsidRPr="00D70ADF">
        <w:rPr>
          <w:rFonts w:ascii="Times New Roman" w:hAnsi="Times New Roman" w:cs="Baskerville Semibold"/>
          <w:szCs w:val="13"/>
          <w:vertAlign w:val="subscript"/>
        </w:rPr>
        <w:t>L</w:t>
      </w:r>
      <w:r w:rsidRPr="00D70ADF">
        <w:rPr>
          <w:rFonts w:ascii="Times New Roman" w:hAnsi="Times New Roman" w:cs="Baskerville Semibold"/>
          <w:szCs w:val="20"/>
        </w:rPr>
        <w:t xml:space="preserve"> the left posterior and P</w:t>
      </w:r>
      <w:r w:rsidRPr="00D70ADF">
        <w:rPr>
          <w:rFonts w:ascii="Times New Roman" w:hAnsi="Times New Roman" w:cs="Baskerville Semibold"/>
          <w:szCs w:val="13"/>
          <w:vertAlign w:val="subscript"/>
        </w:rPr>
        <w:t>R</w:t>
      </w:r>
      <w:r w:rsidRPr="00D70ADF">
        <w:rPr>
          <w:rFonts w:ascii="Times New Roman" w:hAnsi="Times New Roman" w:cs="Baskerville Semibold"/>
          <w:szCs w:val="20"/>
        </w:rPr>
        <w:t xml:space="preserve"> the right posterior. An initial bias was based upon the training trials. After classifier construction, all training trials were classified resulting in 96 x 2 posteriors. During the feedback task the bias was updated after every trial by including the posteriors from all processed segments. The new bias was calculated based upon all previous segments, not only on the segments from the preceding feedback trial.</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To classify a new segment, left and right attention posteriors were determined for the segment. Where without bias correction one would look whether their difference was larger or smaller than zero, we now determined whether their difference was larger or smaller than the most recent value of the bias. If it was larger the segment was classified as left covert attention and if it was smaller, as right covert attention. </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Template matching with bias correction</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For the template matching method a bias correction was implemented in a very similar way. In stead of correcting for a potential difference in posteriors, we implemented a correction for a potential overall difference in the correlation coefficients. The bias was defined by the difference between the average correlation with the left template compared to the average correlation with the right template:</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noProof/>
          <w:szCs w:val="20"/>
          <w:lang w:eastAsia="nl-NL"/>
        </w:rPr>
        <w:drawing>
          <wp:inline distT="0" distB="0" distL="0" distR="0">
            <wp:extent cx="1296035" cy="381635"/>
            <wp:effectExtent l="2540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14"/>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15"/>
                        <a:srcRect/>
                        <a:stretch>
                          <a:fillRect/>
                        </a:stretch>
                      </pic:blipFill>
                    </ve:Fallback>
                  </ve:AlternateContent>
                  <pic:spPr bwMode="auto">
                    <a:xfrm>
                      <a:off x="0" y="0"/>
                      <a:ext cx="1296035" cy="381635"/>
                    </a:xfrm>
                    <a:prstGeom prst="rect">
                      <a:avLst/>
                    </a:prstGeom>
                    <a:noFill/>
                    <a:ln w="9525">
                      <a:noFill/>
                      <a:miter lim="800000"/>
                      <a:headEnd/>
                      <a:tailEnd/>
                    </a:ln>
                  </pic:spPr>
                </pic:pic>
              </a:graphicData>
            </a:graphic>
          </wp:inline>
        </w:drawing>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F85F13" w:rsidRPr="00D70ADF" w:rsidRDefault="00F85F13" w:rsidP="00F85F13">
      <w:pPr>
        <w:rPr>
          <w:rFonts w:ascii="Times New Roman" w:hAnsi="Times New Roman" w:cs="Baskerville Semibold"/>
          <w:szCs w:val="20"/>
        </w:rPr>
      </w:pPr>
      <w:r w:rsidRPr="00D70ADF">
        <w:rPr>
          <w:rFonts w:ascii="Times New Roman" w:hAnsi="Times New Roman" w:cs="Baskerville Semibold"/>
          <w:szCs w:val="20"/>
        </w:rPr>
        <w:t>With N the total number of segments classified, C</w:t>
      </w:r>
      <w:r w:rsidRPr="00D70ADF">
        <w:rPr>
          <w:rFonts w:ascii="Times New Roman" w:hAnsi="Times New Roman" w:cs="Baskerville Semibold"/>
          <w:szCs w:val="13"/>
          <w:vertAlign w:val="subscript"/>
        </w:rPr>
        <w:t>L</w:t>
      </w:r>
      <w:r w:rsidRPr="00D70ADF">
        <w:rPr>
          <w:rFonts w:ascii="Times New Roman" w:hAnsi="Times New Roman" w:cs="Baskerville Semibold"/>
          <w:szCs w:val="20"/>
        </w:rPr>
        <w:t xml:space="preserve"> the correlation coefficient with the left template and C</w:t>
      </w:r>
      <w:r w:rsidRPr="00D70ADF">
        <w:rPr>
          <w:rFonts w:ascii="Times New Roman" w:hAnsi="Times New Roman" w:cs="Baskerville Semibold"/>
          <w:szCs w:val="13"/>
          <w:vertAlign w:val="subscript"/>
        </w:rPr>
        <w:t>R</w:t>
      </w:r>
      <w:r w:rsidRPr="00D70ADF">
        <w:rPr>
          <w:rFonts w:ascii="Times New Roman" w:hAnsi="Times New Roman" w:cs="Baskerville Semibold"/>
          <w:szCs w:val="20"/>
        </w:rPr>
        <w:t xml:space="preserve"> the correlation coefficient with the right template.</w:t>
      </w:r>
    </w:p>
    <w:p w:rsidR="00D70ADF" w:rsidRDefault="00D70ADF" w:rsidP="00F85F13">
      <w:pPr>
        <w:rPr>
          <w:rFonts w:ascii="Times New Roman" w:hAnsi="Times New Roman" w:cs="Baskerville Semibold"/>
          <w:szCs w:val="20"/>
        </w:rPr>
      </w:pPr>
    </w:p>
    <w:p w:rsidR="00F85F13" w:rsidRPr="00D70ADF" w:rsidRDefault="00F85F13" w:rsidP="00F85F13">
      <w:pPr>
        <w:rPr>
          <w:rFonts w:ascii="Times New Roman" w:hAnsi="Times New Roman" w:cs="Baskerville Semibold"/>
          <w:szCs w:val="20"/>
        </w:rPr>
      </w:pPr>
    </w:p>
    <w:p w:rsidR="00D70ADF" w:rsidRDefault="00F85F13" w:rsidP="00D70ADF">
      <w:pPr>
        <w:jc w:val="center"/>
        <w:rPr>
          <w:rFonts w:ascii="Times New Roman" w:hAnsi="Times New Roman" w:cs="Baskerville Semibold"/>
          <w:b/>
          <w:szCs w:val="20"/>
        </w:rPr>
      </w:pPr>
      <w:r w:rsidRPr="00D70ADF">
        <w:rPr>
          <w:rFonts w:ascii="Times New Roman" w:hAnsi="Times New Roman" w:cs="Baskerville Semibold"/>
          <w:b/>
          <w:szCs w:val="20"/>
        </w:rPr>
        <w:t>Results</w:t>
      </w:r>
    </w:p>
    <w:p w:rsidR="00F85F13" w:rsidRPr="00D70ADF" w:rsidRDefault="00F85F13" w:rsidP="00D70ADF">
      <w:pPr>
        <w:jc w:val="center"/>
        <w:rPr>
          <w:rFonts w:ascii="Times New Roman" w:hAnsi="Times New Roman" w:cs="Baskerville Semibold"/>
          <w:b/>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We tested our setup in a pilot experiment with nine subjects.</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Alpha modulation topographies</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Figure 5 shows the topographies of the alpha modulation indices for all participants. We find that we are only able to induce alpha lateralization in a subset of our participants. For the training task participants 1, 3, 5 - 9 show the characteristic posterior lateralization pattern. For the feedback task participants 3, 5, 6 and 9 show a clear pattern; participants 7 and 8 show modulation only over the left posterior hemisphere.</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Feedback frequency</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Table 1 shows the average number of times feedback was updated throughout a feedback trial. The average feedback frequency over subjects and conditions is 3.9 Hz. The spread in the frequency is mainly caused by how well participants were able to keep their gaze fixated. If a participant blinked or moved their eyes more often, fewer segments of data were analyzed for feedback. Secondly the speed with which the buffer and the analysis machine operated was not constant over subjects influencing how often segments could be read in. </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Feedback accuracy</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Classifier performance is summarized in Table 2 and Figure 6. Average performance is 54 ± 4%, significantly above chance (t(8) = 3.00, p = 0.017, two-tailed). We notice that for most participants classification has been strongly biased towards one side. A high accuracy for left attention trials together with a low accuracy for right attention trials indicates that most segments, independent of cued direction, have been classified towards the left. For participants this resulted in wheels that kept rotating towards the left. </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b/>
          <w:bCs/>
          <w:szCs w:val="20"/>
        </w:rPr>
        <w:t>Alpha lateralization &amp; Performance </w:t>
      </w:r>
      <w:r w:rsidRPr="00D70ADF">
        <w:rPr>
          <w:rFonts w:ascii="Times New Roman" w:hAnsi="Times New Roman" w:cs="Baskerville Semibold"/>
          <w:szCs w:val="20"/>
        </w:rPr>
        <w:t>Figure 7</w:t>
      </w:r>
      <w:r w:rsidR="004F49D2">
        <w:rPr>
          <w:rFonts w:ascii="Times New Roman" w:hAnsi="Times New Roman" w:cs="Baskerville Semibold"/>
          <w:szCs w:val="20"/>
        </w:rPr>
        <w:t>a</w:t>
      </w:r>
      <w:r w:rsidRPr="00D70ADF">
        <w:rPr>
          <w:rFonts w:ascii="Times New Roman" w:hAnsi="Times New Roman" w:cs="Baskerville Semibold"/>
          <w:szCs w:val="20"/>
        </w:rPr>
        <w:t xml:space="preserve"> displays the correlations of performance on left and right attention trials respectively with the average ALI of their training and feedback tasks. We find significant correlations for the left attention condition (left training ALI: r = 0.69, p &lt; 0.05, left feedback ALI: r = 0.71, p &lt; 0.05). Given the strong biases we checked whether these lateralization values were an indicator for performance or for a bias towards the left by checking for a possible negative correlation with performance on the </w:t>
      </w:r>
      <w:r w:rsidR="004F49D2">
        <w:rPr>
          <w:rFonts w:ascii="Times New Roman" w:hAnsi="Times New Roman" w:cs="Baskerville Semibold"/>
          <w:szCs w:val="20"/>
        </w:rPr>
        <w:t>right attention trials (Figure 7b</w:t>
      </w:r>
      <w:r w:rsidRPr="00D70ADF">
        <w:rPr>
          <w:rFonts w:ascii="Times New Roman" w:hAnsi="Times New Roman" w:cs="Baskerville Semibold"/>
          <w:szCs w:val="20"/>
        </w:rPr>
        <w:t xml:space="preserve">). The indices for the left feedback task show a significant negative correlation with performance on the right attention feedback task (r = -0.69, p &lt; 0.05). The indices for the left attention training task only show a negative trend (r = -0.59, p = 0.09). The results should therefore be interpreted as the alpha modulation index for left attention tasks being an indicator in this experiment for how strongly the classification is biased towards the left. It cannot be used as indicator for performance itself.  </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Potential improvements</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The templates that were constructed in the template matching method are shown in Figure 8. Some participants showed larger difference between both templates then others, as expressed in the correlations coefficients underneath the templates.</w:t>
      </w:r>
    </w:p>
    <w:p w:rsidR="00F85F13" w:rsidRPr="00D70ADF" w:rsidRDefault="00F85F13" w:rsidP="00F85F13">
      <w:pPr>
        <w:rPr>
          <w:rFonts w:ascii="Times New Roman" w:hAnsi="Times New Roman" w:cs="Baskerville Semibold"/>
          <w:szCs w:val="20"/>
        </w:rPr>
      </w:pPr>
      <w:r w:rsidRPr="00D70ADF">
        <w:rPr>
          <w:rFonts w:ascii="Times New Roman" w:hAnsi="Times New Roman" w:cs="Baskerville Semibold"/>
          <w:szCs w:val="20"/>
        </w:rPr>
        <w:t>Figure 9 compares the performance of the four classification methods. To be able to compare the results from the online analysis with the three additional methods, the results for the online analysis were updated using the individual alpha band and the limited sensor selection. We notice that the LDA with bias correction still shows strong biases, though smaller than without the correction. Using the template matching method, a similar bias appears, though less prominent. When we include the bias correction for this scheme the biases mostly disappear. There is still a difference in performance between both conditions, but the poorer performing condition has accuracies around or even above  50%.</w:t>
      </w:r>
    </w:p>
    <w:p w:rsidR="00F85F13" w:rsidRPr="00D70ADF" w:rsidRDefault="00F85F13" w:rsidP="00F85F13">
      <w:pPr>
        <w:rPr>
          <w:rFonts w:ascii="Times New Roman" w:hAnsi="Times New Roman" w:cs="Baskerville Semibold"/>
          <w:szCs w:val="20"/>
        </w:rPr>
      </w:pPr>
    </w:p>
    <w:p w:rsidR="00D70ADF" w:rsidRDefault="00F85F13" w:rsidP="00D70ADF">
      <w:pPr>
        <w:jc w:val="center"/>
        <w:rPr>
          <w:rFonts w:ascii="Times New Roman" w:hAnsi="Times New Roman" w:cs="Baskerville Semibold"/>
          <w:b/>
          <w:szCs w:val="20"/>
        </w:rPr>
      </w:pPr>
      <w:r w:rsidRPr="00D70ADF">
        <w:rPr>
          <w:rFonts w:ascii="Times New Roman" w:hAnsi="Times New Roman" w:cs="Baskerville Semibold"/>
          <w:b/>
          <w:szCs w:val="20"/>
        </w:rPr>
        <w:t>Discussion</w:t>
      </w:r>
    </w:p>
    <w:p w:rsidR="00F85F13" w:rsidRPr="00D70ADF" w:rsidRDefault="00F85F13" w:rsidP="00D70ADF">
      <w:pPr>
        <w:jc w:val="center"/>
        <w:rPr>
          <w:rFonts w:ascii="Times New Roman" w:hAnsi="Times New Roman" w:cs="Baskerville Semibold"/>
          <w:b/>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The classification bias throughout the experiment has strongly influenced the accuracy with which feedback was displayed towards participants. Even though participants reported that they felt partially capable of overcoming the bias, overall the bias caused frustration with participants. We have to conclude that the given setup is not robust enough for posterior alpha lateralization to function as control signal.</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The data we recorded throughout the experiment has been influenced by this frustration and by the strategies participants used to overcome the bias they were presented with. The results of the additional offline analyses should therefore be interpreted with care. Nonetheless the promising results for the template matching method including a bias correction together with the feedback frequencies of approximately 4 Hz, strengthened our belief that we would be able to create a robust system using this new classification scheme. In the second experiment we test this hypothesis.</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One potential explanation for the occurrence of the bias comes from reports from participants indicating that they already preferred one side over the other to covertly attend towards during the training task. Most participants felt one side was easier to attend towards. Given that we adjusted the contrast of the stimuli throughout the training task based upon overall performance and not on performance per condition, this might have brought about a larger difference in activation between both conditions than just the differential activation between left and right attention. </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A second explanation might be found in the remaining differences between the training and feedback task. The training task still involves a certain amount of expectation for the stimulus to appear, where the feedback task does not. To test for this hypothesis we had two participants, participants 1 and 9, perform the task again. In an offline analysis we classified their feedback segments from the second run using the feedback segments from the first run. This classification was done in the exact same way as in the initial experiment using an LDA without bias correction on the alpha powers in a left and right posterior region of interest. We compared the performance of this classification with the classification based on the training data from the second run. The results are shown in Figure 10. We notice that the bias in the classification disappears. Apparently the remaining difference between the two tasks is highly relevant. We recommend for future development to use a training task that does not involve the expectation for a stimulus to appear, but rather a passive covert attention task. </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The correlation between the alpha lateralization during the left attention feedback task and the size of the bias provides a third perspective.  Given that  </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noProof/>
          <w:szCs w:val="20"/>
          <w:lang w:eastAsia="nl-NL"/>
        </w:rPr>
        <w:drawing>
          <wp:inline distT="0" distB="0" distL="0" distR="0">
            <wp:extent cx="1420495" cy="408305"/>
            <wp:effectExtent l="25400" t="0" r="190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ve:AlternateContent xmlns:ma="http://schemas.microsoft.com/office/mac/drawingml/2008/main">
                    <ve:Choice Requires="ma">
                      <pic:blipFill>
                        <a:blip r:embed="rId16"/>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17"/>
                        <a:srcRect/>
                        <a:stretch>
                          <a:fillRect/>
                        </a:stretch>
                      </pic:blipFill>
                    </ve:Fallback>
                  </ve:AlternateContent>
                  <pic:spPr bwMode="auto">
                    <a:xfrm>
                      <a:off x="0" y="0"/>
                      <a:ext cx="1420495" cy="408305"/>
                    </a:xfrm>
                    <a:prstGeom prst="rect">
                      <a:avLst/>
                    </a:prstGeom>
                    <a:noFill/>
                    <a:ln w="9525">
                      <a:noFill/>
                      <a:miter lim="800000"/>
                      <a:headEnd/>
                      <a:tailEnd/>
                    </a:ln>
                  </pic:spPr>
                </pic:pic>
              </a:graphicData>
            </a:graphic>
          </wp:inline>
        </w:drawing>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  it can be shown that if</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noProof/>
          <w:szCs w:val="20"/>
          <w:lang w:eastAsia="nl-NL"/>
        </w:rPr>
        <w:drawing>
          <wp:inline distT="0" distB="0" distL="0" distR="0">
            <wp:extent cx="639445" cy="16891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ve:AlternateContent xmlns:ma="http://schemas.microsoft.com/office/mac/drawingml/2008/main">
                    <ve:Choice Requires="ma">
                      <pic:blipFill>
                        <a:blip r:embed="rId18"/>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19"/>
                        <a:srcRect/>
                        <a:stretch>
                          <a:fillRect/>
                        </a:stretch>
                      </pic:blipFill>
                    </ve:Fallback>
                  </ve:AlternateContent>
                  <pic:spPr bwMode="auto">
                    <a:xfrm>
                      <a:off x="0" y="0"/>
                      <a:ext cx="639445" cy="168910"/>
                    </a:xfrm>
                    <a:prstGeom prst="rect">
                      <a:avLst/>
                    </a:prstGeom>
                    <a:noFill/>
                    <a:ln w="9525">
                      <a:noFill/>
                      <a:miter lim="800000"/>
                      <a:headEnd/>
                      <a:tailEnd/>
                    </a:ln>
                  </pic:spPr>
                </pic:pic>
              </a:graphicData>
            </a:graphic>
          </wp:inline>
        </w:drawing>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8"/>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 then</w:t>
      </w:r>
    </w:p>
    <w:p w:rsid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noProof/>
          <w:szCs w:val="20"/>
          <w:lang w:eastAsia="nl-NL"/>
        </w:rPr>
        <w:drawing>
          <wp:inline distT="0" distB="0" distL="0" distR="0">
            <wp:extent cx="1482725" cy="532765"/>
            <wp:effectExtent l="2540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ve:AlternateContent xmlns:ma="http://schemas.microsoft.com/office/mac/drawingml/2008/main">
                    <ve:Choice Requires="ma">
                      <pic:blipFill>
                        <a:blip r:embed="rId20"/>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21"/>
                        <a:srcRect/>
                        <a:stretch>
                          <a:fillRect/>
                        </a:stretch>
                      </pic:blipFill>
                    </ve:Fallback>
                  </ve:AlternateContent>
                  <pic:spPr bwMode="auto">
                    <a:xfrm>
                      <a:off x="0" y="0"/>
                      <a:ext cx="1482725" cy="532765"/>
                    </a:xfrm>
                    <a:prstGeom prst="rect">
                      <a:avLst/>
                    </a:prstGeom>
                    <a:noFill/>
                    <a:ln w="9525">
                      <a:noFill/>
                      <a:miter lim="800000"/>
                      <a:headEnd/>
                      <a:tailEnd/>
                    </a:ln>
                  </pic:spPr>
                </pic:pic>
              </a:graphicData>
            </a:graphic>
          </wp:inline>
        </w:drawing>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 This means that the more dominant the activity over the left hemisphere was during the left attention feedback task, the stronger the bias appeared. Statistical analysis confirms a significant positive and negative correlation respectively between the left dominance and classifier performance on the left and right feedback task.  </w:t>
      </w:r>
    </w:p>
    <w:p w:rsidR="00F85F13" w:rsidRPr="00D70ADF" w:rsidRDefault="00F85F13" w:rsidP="00F85F13">
      <w:pPr>
        <w:rPr>
          <w:rFonts w:ascii="Times New Roman" w:hAnsi="Times New Roman" w:cs="Baskerville Semibold"/>
          <w:szCs w:val="20"/>
        </w:rPr>
      </w:pPr>
      <w:r w:rsidRPr="00D70ADF">
        <w:rPr>
          <w:rFonts w:ascii="Times New Roman" w:hAnsi="Times New Roman" w:cs="Baskerville Semibold"/>
          <w:szCs w:val="20"/>
        </w:rPr>
        <w:t>Biases often occur due to under fitting or over fitting of the training data by using too few or too many dimensions to explain the patterns in the data. Given our two dimensional discriminant analysis, over fitting is not under consideration. Under fitting is characterized by poor classifier performance when attempting to classify the training data itself. We performed this classification using a leave one out method with the LDA scheme as described for the online analysis. The results are in Figure 11. Average classifier performance is 64 ± 7% with a strong bias for participant 4 and smaller ones for participants 8 and 9. Given these results, we consider it worth the effort to investigate the possibilities of including more dimensions in the classification.</w:t>
      </w:r>
    </w:p>
    <w:p w:rsidR="00F85F13" w:rsidRPr="00D70ADF" w:rsidRDefault="00F85F13" w:rsidP="00F85F13">
      <w:pPr>
        <w:rPr>
          <w:rFonts w:ascii="Times New Roman" w:hAnsi="Times New Roman" w:cs="Baskerville Semibold"/>
          <w:szCs w:val="20"/>
        </w:rPr>
      </w:pPr>
    </w:p>
    <w:p w:rsidR="00F85F13" w:rsidRPr="00D70ADF" w:rsidRDefault="00F85F13" w:rsidP="00D70ADF">
      <w:pPr>
        <w:jc w:val="center"/>
        <w:rPr>
          <w:rFonts w:ascii="Times New Roman" w:hAnsi="Times New Roman" w:cs="Baskerville Semibold"/>
          <w:b/>
          <w:sz w:val="28"/>
          <w:szCs w:val="20"/>
        </w:rPr>
      </w:pPr>
      <w:r w:rsidRPr="00D70ADF">
        <w:rPr>
          <w:rFonts w:ascii="Times New Roman" w:hAnsi="Times New Roman" w:cs="Baskerville Semibold"/>
          <w:b/>
          <w:sz w:val="28"/>
          <w:szCs w:val="20"/>
        </w:rPr>
        <w:t>Experiment II</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Introduction</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Given the promising results we found in the offline analysis of the first experiment, we developed this second experiment to test whether using a template matching classification scheme with a bias correction could create a more robust BCI paradigm.</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Methods</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The setup for this second experiment was largely identical to the setup for the first experiment. Sensor selection was now limited to the sensors indicated in Figure 4. As online classification scheme we implemented the template matching method with bias correction as described for Experiment 1. Alpha power was still extracted from the 8 - 12 Hz band.</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Results</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We tested the updated setup with two participants, participants 3 and 9 from our initial experiment. Their results are shown in Table 3 and Figure 12. Both participants score in both conditions above 50%, indicating that we have successfully removed the bias from our setup. </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Proper statistical analyses is difficult, given the low number of participants. Comparing the results for these two participants with their results from the initial experiment, Figure 11, however provides a promising indication that this setup can accurately provide feedback on covert attention using posterior alpha lateralization. </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Testing the offline analyses for the four classification schemes as described for the first experiment, results in the performances shown in Figure 13. We notice that the LDA classifier both with and without bias correction still shows a bias for participant 3 and shows large differences for participant 9, though no longer biased. Template matching shows differential performance for participant 3 and equal performance for participant 9. It is noteworthy that for the template matching method without bias correction, the bias for participant 9 has disappeared and has become very small for participant 3.  For the classification including bias correction performance for participant 3 is on average 63%. Performance for participant 9 has risen above 70% for both conditions. Difference with the online analysis is the inclusion of the individual alpha frequency band.</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b/>
          <w:bCs/>
          <w:szCs w:val="20"/>
        </w:rPr>
      </w:pPr>
      <w:r w:rsidRPr="00D70ADF">
        <w:rPr>
          <w:rFonts w:ascii="Times New Roman" w:hAnsi="Times New Roman" w:cs="Baskerville Semibold"/>
          <w:b/>
          <w:bCs/>
          <w:szCs w:val="20"/>
        </w:rPr>
        <w:t>Discussion</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Given the results of this second experiment, the first next step is to collect data from more participants to confirm the robustness of this setup. In this discussion we would like to address remaining points of improvements. These could potentially be implemented prior to testing with more participants. Given that the data from this second experiment is free off bias induced brain activity like frustration and compensation strategies, this data is better suited to run additional offline analyses.</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So far we have only tested four classification schemes. It would be worth to test additional classifiers both on accuracy as well as speed. A second analysis to be performed is a variation of the length of the analysis window. All results shown have been based upon an analysis window of 700 ms. Both longer and a shorter analysis windows might positively influence classifier performance. Care has to be taken with longer analysis windows as these will both slow the system down as well as lengthen the delay with which feedback gets back to the participant.</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The apparent correlations between the templates as put forth in the first experiment in Figure 8 prompted the question whether less correlated templates would improve classification using a template matching method. We ran an additional analysis in which we adjusted to given templates by subtracting from every channel the average activity of both templates in the given channel as to create two anti-correlated templates. Classification based upon these templates did not improve classifier performance.</w:t>
      </w:r>
    </w:p>
    <w:p w:rsidR="00F85F13" w:rsidRPr="00D70ADF" w:rsidRDefault="00F85F13" w:rsidP="00F85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360"/>
        <w:rPr>
          <w:rFonts w:ascii="Times New Roman" w:hAnsi="Times New Roman" w:cs="Baskerville Semibold"/>
          <w:szCs w:val="20"/>
        </w:rPr>
      </w:pPr>
      <w:r w:rsidRPr="00D70ADF">
        <w:rPr>
          <w:rFonts w:ascii="Times New Roman" w:hAnsi="Times New Roman" w:cs="Baskerville Semibold"/>
          <w:szCs w:val="20"/>
        </w:rPr>
        <w:t xml:space="preserve">Comparing the the AMI topographies with performance during the first experiment visual inspection hints towards the idea that participants with a stronger modulation pattern  show better performance. It is advisable to quantify this idea and if it proves to be true, to consider screening participants on their alpha lateralization prior to participating. </w:t>
      </w:r>
    </w:p>
    <w:p w:rsidR="0048629C" w:rsidRPr="00D70ADF" w:rsidRDefault="00F85F13" w:rsidP="00F85F13">
      <w:pPr>
        <w:rPr>
          <w:rFonts w:ascii="Times New Roman" w:hAnsi="Times New Roman" w:cs="Baskerville Semibold"/>
          <w:szCs w:val="20"/>
        </w:rPr>
      </w:pPr>
      <w:r w:rsidRPr="00D70ADF">
        <w:rPr>
          <w:rFonts w:ascii="Times New Roman" w:hAnsi="Times New Roman" w:cs="Baskerville Semibold"/>
          <w:szCs w:val="20"/>
        </w:rPr>
        <w:t>A lot of research is currently performed in the BCI field to create adaptive classification schemes (Shenoy, Krauledat, Blankertz, Rao, &amp; Muller, 2006; Vidaurre, Schloogl, Cabeza, Scherer, &amp; Pfurtscheller, 2006) to take into account changes in brain state of the participant throughout the experiment. For the long term development of a covert attention driven BCI we think it is worthwhile to study these methods, as changes in alpha power are likely to occur during an experiment.</w:t>
      </w:r>
    </w:p>
    <w:p w:rsidR="0048629C" w:rsidRPr="00D70ADF" w:rsidRDefault="0048629C" w:rsidP="00F85F13">
      <w:pPr>
        <w:rPr>
          <w:rFonts w:ascii="Times New Roman" w:hAnsi="Times New Roman" w:cs="Baskerville Semibold"/>
          <w:szCs w:val="20"/>
        </w:rPr>
      </w:pPr>
    </w:p>
    <w:p w:rsidR="0048629C" w:rsidRPr="00D70ADF" w:rsidRDefault="0048629C" w:rsidP="00F85F13">
      <w:pPr>
        <w:rPr>
          <w:rFonts w:ascii="Times New Roman" w:hAnsi="Times New Roman" w:cs="Baskerville Semibold"/>
          <w:b/>
          <w:szCs w:val="20"/>
        </w:rPr>
      </w:pPr>
      <w:r w:rsidRPr="00D70ADF">
        <w:rPr>
          <w:rFonts w:ascii="Times New Roman" w:hAnsi="Times New Roman" w:cs="Baskerville Semibold"/>
          <w:szCs w:val="20"/>
        </w:rPr>
        <w:br w:type="page"/>
      </w:r>
      <w:r w:rsidRPr="00D70ADF">
        <w:rPr>
          <w:rFonts w:ascii="Times New Roman" w:hAnsi="Times New Roman" w:cs="Baskerville Semibold"/>
          <w:b/>
          <w:szCs w:val="20"/>
        </w:rPr>
        <w:t>References</w:t>
      </w:r>
    </w:p>
    <w:p w:rsidR="0048629C" w:rsidRPr="00D70ADF" w:rsidRDefault="0048629C" w:rsidP="00F85F13">
      <w:pPr>
        <w:rPr>
          <w:rFonts w:ascii="Times New Roman" w:hAnsi="Times New Roman" w:cs="Baskerville Semibold"/>
          <w:b/>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Bahramisharif, A., Gerven, M. van, Heskes, T., &amp; Jensen, O. (2010, Apr). Covert attention allows for continuous control of brain-computer interfaces. European Journal of Neuroscience, 31 (8), 1501-1508.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Bahramisharif, A., Heskes, T., Jensen, O., &amp; Gerven, M. A. J. van. (2011, Mar 10). Lateralized responses during covert attention are modulated by target eccentricity. Neuroscience Letters, 491 (1), 35-39.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Bastiaansen, M., &amp; Knosche, T. (2000). Tangential derivative mapping of axial MEG applied to event-related desynchronization research. Clinical Neurophysiology,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111 (7), 1300-1305.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Berger, H. (1929). Über das elektroenkephalogramm des menschen. Arch. Psychiatr. Nervenkr., 87, 527-570.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Fu, K.-M. G., Foxe, J. J., Murray, M. M., Higgins, B. A., Javitt, D. C., &amp; Schroeder, C. E. (2001). Attention-dependent suppression of distracter visual input can be cross-modally cued as indexed by anticipatory parieto–occipital alpha-band oscillations. Cognitive Brain Research, 12 (1), 145 - 152.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Gerven, M. van, Bahramisharif, A., Heskes, T., &amp; Jensen, O. (2009). Selecting features for bci control based on a covert spatial attention paradigm. Neural Networks, 22 (9), 1271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- 1277.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Haegens, S., Haendel, B. F., &amp; Jensen, O. (2011). Top-Down Controlled Alpha Band Activity in Somatosensory Areas Determines Behavioral Performance in a Discrimination Task. Journal of Neuroscience, 31 (14), 5197-5204.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Haegens, S., Osipova, D., Oostenveld, R., &amp; Jensen, O. (2010). Somatosensory Working Memory Performance in Humans Depends on Both Engagement and Disengagement of Regions in a Distributed Network. Human Brain Mapping, 31 (1), 26-35.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Hamalainen, M., Hari, R., Ilmoniemi, R., Knuutila, J., &amp; Lounasmaa, O. (1993). Magnetoencephalography - Theory, Instrumentation, and Applications to noninvasive studies of the working human brain. Reviews of Modern Physics, 65 (2), 413-497.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Jensen, O., Gelfand, J., Kounios, J., &amp; Lisman, J. E. (2002). Oscillations in the alpha band (9–12 hz) increase with memory load during retention in a short-term memory task.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Cerebral Cortex, 12 (8), 877-882.</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Klimesch, W. (1999). EEG alpha and theta oscillations reﬂect cognitive and memory performance: a review and analysis. Brain Research Reviews, 29 (2-3), 169-195.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Klimesch, W., Sauseng, P., &amp; Hanslmayr, S. (2007). Eeg alpha oscillations: The inhibition–timing hypothesis. Brain Research Reviews , 53 (1), 63 - 88.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Kubler, A., Neumann, N., Wilhelm, B., Hinterberger, T., &amp; Birbaumer, N. (2004). Brain-computer predictability of brain-computer communication. Journal of Psychophysiology, 18 (2-3), 121-129.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Meeuwissen, E. B., Takashima, A., Fernández, G., &amp; Jensen, O. (2011). Increase in posterior alpha activity during rehearsal predicts successful long-term memory forma-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tion of word sequences. Human Brain Mapping, 32 (12), 2045–2053.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Oostenveld, R., Fries, P., Maris, E., &amp; Scho</w:t>
      </w:r>
      <w:r w:rsidRPr="00D70ADF">
        <w:rPr>
          <w:rFonts w:ascii="Times New Roman" w:hAnsi="Lucida Grande" w:cs="Lucida Grande"/>
          <w:szCs w:val="20"/>
        </w:rPr>
        <w:t>ﬀ</w:t>
      </w:r>
      <w:r w:rsidRPr="00D70ADF">
        <w:rPr>
          <w:rFonts w:ascii="Times New Roman" w:hAnsi="Times New Roman" w:cs="Baskerville Semibold"/>
          <w:szCs w:val="20"/>
        </w:rPr>
        <w:t>elen, J.-M. (2011). Fieldtrip: open source software for advanced analysis of meg, eeg, and invasive electrophysiological data. Intell. Neuroscience, 2011, 1:1–1:9.</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Pfurtscheller, G., Stancak, A., &amp; Neuper, C. (1996). Event-related synchronization (ERS) in the alpha band - An electrophysiological correlate of cortical idling: A review.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International Journal of Psychophysiology, 24 (1-2), 39-46.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Rihs, T. A., Michel, C. M., &amp; Thut, G. (2007). Mechanisms of selective inhibition in visual spatial attention are indexed by alpha-band EEG synchronization. European Journal of Neuroscience, 25 (2), 603-610.</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Shenoy, P., Krauledat, M., Blankertz, B., Rao, R., &amp; Muller, K. (2006). Towards adaptive classiﬁcation for BCI. Journal of Neural Engineering, 3 (1), R13-R23.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Thut, G., Nietzel, A., Brandt, S. A., &amp; Pascual-Leone, A. (2006). Alpha-Band electroencephalographic activity over occipital cortex indexes visuospatial attention bias and predicts visual target detection. Journal of Neuroscience, 26 (37), 9494-9502.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Vidaurre, C., Schloogl, A., Cabeza, R., Scherer, R., &amp; Pfurtscheller, G. (2006). A fully on-line adaptive BCI. IEEE Transactions on Biomedical Engineering, 53 (6), 1214-1219.</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Woo, M., Neider, J., Davis, T., &amp; Shreiner, D. (1999). Opengl programming guide: The Official guide to learning opengl, version 1.2 (3rd ed.). Boston, MA, USA: Addison-Wesley Longman Publishing Co., Inc.</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r w:rsidRPr="00D70ADF">
        <w:rPr>
          <w:rFonts w:ascii="Times New Roman" w:hAnsi="Times New Roman" w:cs="Baskerville Semibold"/>
          <w:szCs w:val="20"/>
        </w:rPr>
        <w:t xml:space="preserve">Worden, M., Foxe, J., Wang, N., &amp; Simpson, G. (2000). Anticipatory biasing of visuospatial attention indexed by retinotopically speciﬁc alpha-band electroencephalography increases over occipital cortex. Journal of Neuroscience, 20 (6), art. no. RC63. </w:t>
      </w:r>
    </w:p>
    <w:p w:rsidR="0048629C" w:rsidRPr="00D70ADF" w:rsidRDefault="0048629C" w:rsidP="00486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Times New Roman" w:hAnsi="Times New Roman" w:cs="Baskerville Semibold"/>
          <w:szCs w:val="20"/>
        </w:rPr>
      </w:pPr>
    </w:p>
    <w:p w:rsidR="00973B8E" w:rsidRPr="00D70ADF" w:rsidRDefault="004F49D2" w:rsidP="00F85F13">
      <w:pPr>
        <w:rPr>
          <w:rFonts w:ascii="Times New Roman" w:hAnsi="Times New Roman" w:cs="Baskerville Semibold"/>
          <w:b/>
          <w:szCs w:val="20"/>
          <w:u w:val="single"/>
        </w:rPr>
      </w:pPr>
    </w:p>
    <w:sectPr w:rsidR="00973B8E" w:rsidRPr="00D70ADF" w:rsidSect="00973B8E">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askerville Semibold">
    <w:panose1 w:val="02020702070400020203"/>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150B2"/>
    <w:rsid w:val="003150B2"/>
    <w:rsid w:val="0048629C"/>
    <w:rsid w:val="004F49D2"/>
    <w:rsid w:val="00C21B37"/>
    <w:rsid w:val="00D70ADF"/>
    <w:rsid w:val="00F85F13"/>
  </w:rsids>
  <m:mathPr>
    <m:mathFont m:val="Wingdings 2"/>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7C309A"/>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image" Target="media/image6.pdf"/><Relationship Id="rId20" Type="http://schemas.openxmlformats.org/officeDocument/2006/relationships/image" Target="media/image9.pdf"/><Relationship Id="rId4" Type="http://schemas.openxmlformats.org/officeDocument/2006/relationships/image" Target="media/image1.pdf"/><Relationship Id="rId21" Type="http://schemas.openxmlformats.org/officeDocument/2006/relationships/image" Target="media/image18.png"/><Relationship Id="rId22" Type="http://schemas.openxmlformats.org/officeDocument/2006/relationships/fontTable" Target="fontTable.xml"/><Relationship Id="rId23" Type="http://schemas.openxmlformats.org/officeDocument/2006/relationships/theme" Target="theme/theme1.xml"/><Relationship Id="rId7" Type="http://schemas.openxmlformats.org/officeDocument/2006/relationships/image" Target="media/image4.png"/><Relationship Id="rId11"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2.pdf"/><Relationship Id="rId16" Type="http://schemas.openxmlformats.org/officeDocument/2006/relationships/image" Target="media/image7.pdf"/><Relationship Id="rId8" Type="http://schemas.openxmlformats.org/officeDocument/2006/relationships/image" Target="media/image3.pdf"/><Relationship Id="rId13" Type="http://schemas.openxmlformats.org/officeDocument/2006/relationships/image" Target="media/image10.png"/><Relationship Id="rId10" Type="http://schemas.openxmlformats.org/officeDocument/2006/relationships/image" Target="media/image4.pdf"/><Relationship Id="rId5" Type="http://schemas.openxmlformats.org/officeDocument/2006/relationships/image" Target="media/image2.png"/><Relationship Id="rId15" Type="http://schemas.openxmlformats.org/officeDocument/2006/relationships/image" Target="media/image12.png"/><Relationship Id="rId12" Type="http://schemas.openxmlformats.org/officeDocument/2006/relationships/image" Target="media/image5.pdf"/><Relationship Id="rId17" Type="http://schemas.openxmlformats.org/officeDocument/2006/relationships/image" Target="media/image14.png"/><Relationship Id="rId19" Type="http://schemas.openxmlformats.org/officeDocument/2006/relationships/image" Target="media/image16.png"/><Relationship Id="rId2" Type="http://schemas.openxmlformats.org/officeDocument/2006/relationships/settings" Target="settings.xml"/><Relationship Id="rId9" Type="http://schemas.openxmlformats.org/officeDocument/2006/relationships/image" Target="media/image6.png"/><Relationship Id="rId3" Type="http://schemas.openxmlformats.org/officeDocument/2006/relationships/webSettings" Target="webSettings.xml"/><Relationship Id="rId18" Type="http://schemas.openxmlformats.org/officeDocument/2006/relationships/image" Target="media/image8.pd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6270</Words>
  <Characters>35739</Characters>
  <Application>Microsoft Macintosh Word</Application>
  <DocSecurity>0</DocSecurity>
  <Lines>297</Lines>
  <Paragraphs>71</Paragraphs>
  <ScaleCrop>false</ScaleCrop>
  <Company>Kapteyn Institute</Company>
  <LinksUpToDate>false</LinksUpToDate>
  <CharactersWithSpaces>43890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Oosterheert</dc:creator>
  <cp:keywords/>
  <cp:lastModifiedBy>Wouter Oosterheert</cp:lastModifiedBy>
  <cp:revision>5</cp:revision>
  <dcterms:created xsi:type="dcterms:W3CDTF">2012-08-23T16:30:00Z</dcterms:created>
  <dcterms:modified xsi:type="dcterms:W3CDTF">2012-08-23T16:56:00Z</dcterms:modified>
</cp:coreProperties>
</file>