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5D2" w:rsidRDefault="00A1411B">
      <w:pPr>
        <w:spacing w:after="19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:rsidR="00A415D2" w:rsidRDefault="00A1411B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764</wp:posOffset>
            </wp:positionH>
            <wp:positionV relativeFrom="page">
              <wp:posOffset>915163</wp:posOffset>
            </wp:positionV>
            <wp:extent cx="7543800" cy="1877568"/>
            <wp:effectExtent l="0" t="0" r="0" b="0"/>
            <wp:wrapTopAndBottom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Information sheet </w:t>
      </w:r>
      <w:r w:rsidR="00624811">
        <w:t>2020/2021</w:t>
      </w:r>
    </w:p>
    <w:p w:rsidR="00A415D2" w:rsidRDefault="00A1411B">
      <w:pPr>
        <w:jc w:val="left"/>
      </w:pPr>
      <w:r>
        <w:rPr>
          <w:b w:val="0"/>
          <w:sz w:val="24"/>
        </w:rPr>
        <w:t xml:space="preserve"> </w:t>
      </w:r>
    </w:p>
    <w:tbl>
      <w:tblPr>
        <w:tblStyle w:val="TableGrid"/>
        <w:tblW w:w="8520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218"/>
        <w:gridCol w:w="4302"/>
      </w:tblGrid>
      <w:tr w:rsidR="00A415D2">
        <w:trPr>
          <w:trHeight w:val="977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415D2" w:rsidP="00A1411B">
            <w:pPr>
              <w:spacing w:after="137"/>
              <w:jc w:val="both"/>
            </w:pPr>
          </w:p>
          <w:p w:rsidR="00A415D2" w:rsidRDefault="00A1411B">
            <w:pPr>
              <w:ind w:left="7"/>
              <w:jc w:val="center"/>
            </w:pPr>
            <w:r>
              <w:t>Location</w:t>
            </w:r>
            <w:r>
              <w:rPr>
                <w:sz w:val="20"/>
              </w:rPr>
              <w:t xml:space="preserve"> </w:t>
            </w:r>
          </w:p>
        </w:tc>
      </w:tr>
      <w:tr w:rsidR="00A415D2">
        <w:trPr>
          <w:trHeight w:val="2426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 w:rsidP="00A1411B">
            <w:pPr>
              <w:spacing w:after="98"/>
              <w:jc w:val="both"/>
            </w:pPr>
            <w:r>
              <w:rPr>
                <w:b w:val="0"/>
                <w:sz w:val="20"/>
              </w:rPr>
              <w:t xml:space="preserve"> </w:t>
            </w:r>
          </w:p>
          <w:p w:rsidR="00A415D2" w:rsidRDefault="00A1411B">
            <w:pPr>
              <w:ind w:left="4"/>
              <w:jc w:val="center"/>
            </w:pPr>
            <w:r>
              <w:rPr>
                <w:b w:val="0"/>
                <w:sz w:val="20"/>
              </w:rPr>
              <w:t xml:space="preserve">International </w:t>
            </w:r>
            <w:r w:rsidR="00585820">
              <w:rPr>
                <w:b w:val="0"/>
                <w:sz w:val="20"/>
              </w:rPr>
              <w:t>Cooperation</w:t>
            </w:r>
            <w:r>
              <w:rPr>
                <w:b w:val="0"/>
                <w:sz w:val="20"/>
              </w:rPr>
              <w:t xml:space="preserve"> Division </w:t>
            </w:r>
          </w:p>
          <w:p w:rsidR="00A415D2" w:rsidRDefault="00A1411B">
            <w:pPr>
              <w:ind w:left="4"/>
              <w:jc w:val="center"/>
            </w:pPr>
            <w:r>
              <w:rPr>
                <w:b w:val="0"/>
                <w:sz w:val="20"/>
              </w:rPr>
              <w:t xml:space="preserve">Graduate Centre Building </w:t>
            </w:r>
          </w:p>
          <w:p w:rsidR="00A415D2" w:rsidRDefault="00A1411B">
            <w:pPr>
              <w:ind w:left="6"/>
              <w:jc w:val="center"/>
            </w:pPr>
            <w:r>
              <w:rPr>
                <w:b w:val="0"/>
                <w:sz w:val="20"/>
              </w:rPr>
              <w:t xml:space="preserve">University of Pretoria </w:t>
            </w:r>
          </w:p>
          <w:p w:rsidR="00A415D2" w:rsidRDefault="00A1411B">
            <w:pPr>
              <w:ind w:left="3"/>
              <w:jc w:val="center"/>
            </w:pPr>
            <w:r>
              <w:rPr>
                <w:b w:val="0"/>
                <w:sz w:val="20"/>
              </w:rPr>
              <w:t xml:space="preserve">Lynnwood Road </w:t>
            </w:r>
          </w:p>
          <w:p w:rsidR="00A415D2" w:rsidRDefault="00A1411B">
            <w:pPr>
              <w:ind w:left="3"/>
              <w:jc w:val="center"/>
            </w:pPr>
            <w:r>
              <w:rPr>
                <w:b w:val="0"/>
                <w:sz w:val="20"/>
              </w:rPr>
              <w:t xml:space="preserve">Pretoria 0002 </w:t>
            </w:r>
          </w:p>
          <w:p w:rsidR="00A415D2" w:rsidRDefault="00A1411B">
            <w:pPr>
              <w:ind w:left="6"/>
              <w:jc w:val="center"/>
            </w:pPr>
            <w:r>
              <w:rPr>
                <w:b w:val="0"/>
                <w:sz w:val="20"/>
              </w:rPr>
              <w:t xml:space="preserve">Tel: +27 (0) 12 420 3111 </w:t>
            </w:r>
          </w:p>
          <w:p w:rsidR="00A415D2" w:rsidRDefault="00A1411B">
            <w:pPr>
              <w:ind w:left="4"/>
              <w:jc w:val="center"/>
            </w:pPr>
            <w:r>
              <w:rPr>
                <w:b w:val="0"/>
                <w:sz w:val="20"/>
              </w:rPr>
              <w:t xml:space="preserve">Fax: +27 (0) 420 2605 </w:t>
            </w:r>
          </w:p>
          <w:p w:rsidR="00A415D2" w:rsidRDefault="00A1411B">
            <w:pPr>
              <w:ind w:left="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Email: </w:t>
            </w:r>
            <w:hyperlink r:id="rId5" w:history="1">
              <w:r w:rsidR="001060D2" w:rsidRPr="00593BF8">
                <w:rPr>
                  <w:rStyle w:val="Hyperlink"/>
                  <w:b w:val="0"/>
                  <w:sz w:val="20"/>
                  <w:u w:color="0000FF"/>
                </w:rPr>
                <w:t>isd@up.ac.za</w:t>
              </w:r>
            </w:hyperlink>
            <w:r>
              <w:rPr>
                <w:b w:val="0"/>
                <w:sz w:val="20"/>
              </w:rPr>
              <w:t xml:space="preserve"> </w:t>
            </w:r>
          </w:p>
          <w:p w:rsidR="00585820" w:rsidRDefault="001060D2" w:rsidP="001060D2">
            <w:pPr>
              <w:ind w:left="6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Web</w:t>
            </w:r>
            <w:r w:rsidR="00355BB7">
              <w:rPr>
                <w:b w:val="0"/>
                <w:sz w:val="20"/>
              </w:rPr>
              <w:t>site</w:t>
            </w:r>
            <w:r>
              <w:rPr>
                <w:b w:val="0"/>
                <w:sz w:val="20"/>
              </w:rPr>
              <w:t>:</w:t>
            </w:r>
            <w:r w:rsidR="00355BB7">
              <w:rPr>
                <w:b w:val="0"/>
                <w:sz w:val="20"/>
              </w:rPr>
              <w:t xml:space="preserve"> </w:t>
            </w:r>
            <w:hyperlink r:id="rId6" w:history="1">
              <w:r w:rsidR="00355BB7" w:rsidRPr="00593BF8">
                <w:rPr>
                  <w:rStyle w:val="Hyperlink"/>
                  <w:b w:val="0"/>
                  <w:sz w:val="20"/>
                </w:rPr>
                <w:t>www.up.ac.za/international-cooperation-division</w:t>
              </w:r>
            </w:hyperlink>
          </w:p>
          <w:p w:rsidR="001060D2" w:rsidRPr="001060D2" w:rsidRDefault="00355BB7" w:rsidP="00585820">
            <w:pPr>
              <w:ind w:left="6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415D2" w:rsidTr="00A1411B">
        <w:trPr>
          <w:trHeight w:val="520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15D2" w:rsidRDefault="00A1411B">
            <w:pPr>
              <w:ind w:left="11"/>
              <w:jc w:val="center"/>
            </w:pPr>
            <w:r>
              <w:t xml:space="preserve">Contact details – Staff </w:t>
            </w:r>
          </w:p>
        </w:tc>
      </w:tr>
      <w:tr w:rsidR="00A415D2">
        <w:trPr>
          <w:trHeight w:val="1391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Head: International Cooperation Division (ICD)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 w:rsidP="00585820">
            <w:pPr>
              <w:spacing w:after="98"/>
              <w:ind w:left="1"/>
              <w:jc w:val="left"/>
            </w:pPr>
            <w:r>
              <w:rPr>
                <w:b w:val="0"/>
                <w:sz w:val="20"/>
              </w:rPr>
              <w:t xml:space="preserve"> Mr Setsipane Mokoduwe</w:t>
            </w:r>
          </w:p>
          <w:p w:rsidR="00A415D2" w:rsidRDefault="00A1411B">
            <w:pPr>
              <w:spacing w:after="98"/>
              <w:ind w:left="1"/>
              <w:jc w:val="left"/>
            </w:pPr>
            <w:r>
              <w:rPr>
                <w:b w:val="0"/>
                <w:sz w:val="20"/>
              </w:rPr>
              <w:t xml:space="preserve">Tel: +27 (0) 12 420 5107 </w:t>
            </w:r>
          </w:p>
          <w:p w:rsidR="00A415D2" w:rsidRDefault="00A1411B">
            <w:pPr>
              <w:ind w:left="2"/>
              <w:jc w:val="left"/>
            </w:pPr>
            <w:r>
              <w:rPr>
                <w:b w:val="0"/>
                <w:sz w:val="20"/>
              </w:rPr>
              <w:t xml:space="preserve">Email: </w:t>
            </w:r>
            <w:r>
              <w:rPr>
                <w:b w:val="0"/>
                <w:color w:val="0000FF"/>
                <w:sz w:val="20"/>
                <w:u w:val="single" w:color="0000FF"/>
              </w:rPr>
              <w:t>setsipane.mokoduwe@up.ac.za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F27CCF">
        <w:trPr>
          <w:trHeight w:val="139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CF" w:rsidRDefault="00F27CCF">
            <w:pPr>
              <w:spacing w:line="362" w:lineRule="auto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Manager: International Students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CF" w:rsidRDefault="00F27CCF">
            <w:pPr>
              <w:spacing w:after="98"/>
              <w:ind w:left="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Mr Danny Bokaba</w:t>
            </w:r>
          </w:p>
          <w:p w:rsidR="00F27CCF" w:rsidRDefault="00F27CCF" w:rsidP="00F27CCF">
            <w:pPr>
              <w:spacing w:after="98"/>
              <w:ind w:left="1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+27 12 420 2844</w:t>
            </w:r>
          </w:p>
          <w:p w:rsidR="00F27CCF" w:rsidRDefault="00040536" w:rsidP="00F27CCF">
            <w:pPr>
              <w:spacing w:after="98"/>
              <w:ind w:left="1"/>
              <w:jc w:val="left"/>
              <w:rPr>
                <w:b w:val="0"/>
                <w:sz w:val="20"/>
              </w:rPr>
            </w:pPr>
            <w:hyperlink r:id="rId7" w:history="1">
              <w:r w:rsidR="00F27CCF" w:rsidRPr="00593BF8">
                <w:rPr>
                  <w:rStyle w:val="Hyperlink"/>
                  <w:b w:val="0"/>
                  <w:sz w:val="20"/>
                </w:rPr>
                <w:t>danny.bokaba@up.ac.za</w:t>
              </w:r>
            </w:hyperlink>
          </w:p>
          <w:p w:rsidR="00F27CCF" w:rsidRPr="00F27CCF" w:rsidRDefault="00F27CCF" w:rsidP="00F27CCF">
            <w:pPr>
              <w:spacing w:after="98"/>
              <w:ind w:left="1"/>
              <w:jc w:val="left"/>
              <w:rPr>
                <w:b w:val="0"/>
                <w:sz w:val="20"/>
              </w:rPr>
            </w:pPr>
          </w:p>
        </w:tc>
      </w:tr>
      <w:tr w:rsidR="00A415D2">
        <w:trPr>
          <w:trHeight w:val="139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spacing w:line="362" w:lineRule="auto"/>
              <w:jc w:val="left"/>
            </w:pPr>
            <w:r>
              <w:rPr>
                <w:b w:val="0"/>
                <w:sz w:val="20"/>
              </w:rPr>
              <w:t xml:space="preserve">International and Postgraduate Specialist Consultant: </w:t>
            </w:r>
          </w:p>
          <w:p w:rsidR="00A415D2" w:rsidRDefault="00A1411B" w:rsidP="00A1411B">
            <w:pPr>
              <w:jc w:val="left"/>
            </w:pPr>
            <w:r>
              <w:rPr>
                <w:b w:val="0"/>
                <w:sz w:val="20"/>
              </w:rPr>
              <w:t xml:space="preserve">Europe 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 w:rsidP="00585820">
            <w:pPr>
              <w:spacing w:after="98"/>
              <w:ind w:left="1"/>
              <w:jc w:val="left"/>
            </w:pPr>
            <w:r>
              <w:rPr>
                <w:b w:val="0"/>
                <w:sz w:val="20"/>
              </w:rPr>
              <w:t xml:space="preserve"> </w:t>
            </w:r>
            <w:r w:rsidR="00585820">
              <w:rPr>
                <w:b w:val="0"/>
                <w:sz w:val="20"/>
              </w:rPr>
              <w:t>M</w:t>
            </w:r>
            <w:r>
              <w:rPr>
                <w:b w:val="0"/>
                <w:sz w:val="20"/>
              </w:rPr>
              <w:t xml:space="preserve">s Mahlogonolo Mphahlele </w:t>
            </w:r>
          </w:p>
          <w:p w:rsidR="00A415D2" w:rsidRDefault="00A1411B">
            <w:pPr>
              <w:spacing w:after="96"/>
              <w:ind w:left="1"/>
              <w:jc w:val="left"/>
            </w:pPr>
            <w:r>
              <w:rPr>
                <w:b w:val="0"/>
                <w:sz w:val="20"/>
              </w:rPr>
              <w:t xml:space="preserve">Tel: +27 (0) 12 420 4225 </w:t>
            </w:r>
          </w:p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Email: </w:t>
            </w:r>
            <w:r>
              <w:rPr>
                <w:b w:val="0"/>
                <w:color w:val="0000FF"/>
                <w:sz w:val="20"/>
                <w:u w:val="single" w:color="0000FF"/>
              </w:rPr>
              <w:t>mahlogonolo.mphahlele@up.ac.za</w:t>
            </w:r>
            <w:r>
              <w:rPr>
                <w:b w:val="0"/>
                <w:sz w:val="20"/>
              </w:rPr>
              <w:t xml:space="preserve">  </w:t>
            </w:r>
          </w:p>
        </w:tc>
      </w:tr>
      <w:tr w:rsidR="00A415D2">
        <w:trPr>
          <w:trHeight w:val="139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spacing w:line="362" w:lineRule="auto"/>
              <w:jc w:val="left"/>
            </w:pPr>
            <w:r>
              <w:rPr>
                <w:b w:val="0"/>
                <w:sz w:val="20"/>
              </w:rPr>
              <w:lastRenderedPageBreak/>
              <w:t xml:space="preserve">International and Postgraduate Specialist Consultant: </w:t>
            </w:r>
          </w:p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North and South America, Australasia and Africa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 w:rsidP="00585820">
            <w:pPr>
              <w:spacing w:after="98"/>
              <w:ind w:left="1"/>
              <w:jc w:val="left"/>
            </w:pPr>
            <w:r>
              <w:rPr>
                <w:b w:val="0"/>
                <w:sz w:val="20"/>
              </w:rPr>
              <w:t xml:space="preserve">Mr Smart Maqubela </w:t>
            </w:r>
          </w:p>
          <w:p w:rsidR="00A415D2" w:rsidRDefault="00A1411B">
            <w:pPr>
              <w:spacing w:after="96"/>
              <w:ind w:left="1"/>
              <w:jc w:val="left"/>
            </w:pPr>
            <w:r>
              <w:rPr>
                <w:b w:val="0"/>
                <w:sz w:val="20"/>
              </w:rPr>
              <w:t xml:space="preserve">Tel: +27 (0) 12 420 6610 </w:t>
            </w:r>
          </w:p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Email: </w:t>
            </w:r>
            <w:r>
              <w:rPr>
                <w:b w:val="0"/>
                <w:color w:val="0000FF"/>
                <w:sz w:val="20"/>
                <w:u w:val="single" w:color="0000FF"/>
              </w:rPr>
              <w:t>smart.maqubela@up.ac.za</w:t>
            </w:r>
            <w:r>
              <w:rPr>
                <w:b w:val="0"/>
                <w:sz w:val="20"/>
              </w:rPr>
              <w:t xml:space="preserve">  </w:t>
            </w:r>
          </w:p>
        </w:tc>
      </w:tr>
      <w:tr w:rsidR="00A415D2">
        <w:trPr>
          <w:trHeight w:val="1046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Immigration Control Consultant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spacing w:after="98"/>
              <w:ind w:left="1"/>
              <w:jc w:val="left"/>
            </w:pPr>
            <w:r>
              <w:rPr>
                <w:b w:val="0"/>
                <w:sz w:val="20"/>
              </w:rPr>
              <w:t xml:space="preserve">Ms Jenny Lambinon </w:t>
            </w:r>
          </w:p>
          <w:p w:rsidR="00A415D2" w:rsidRDefault="00A1411B">
            <w:pPr>
              <w:spacing w:after="98"/>
              <w:ind w:left="1"/>
              <w:jc w:val="left"/>
            </w:pPr>
            <w:r>
              <w:rPr>
                <w:b w:val="0"/>
                <w:sz w:val="20"/>
              </w:rPr>
              <w:t xml:space="preserve">Tel: +27 (0) 12 420 4024 </w:t>
            </w:r>
          </w:p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Email: </w:t>
            </w:r>
            <w:r>
              <w:rPr>
                <w:b w:val="0"/>
                <w:color w:val="0000FF"/>
                <w:sz w:val="20"/>
                <w:u w:val="single" w:color="0000FF"/>
              </w:rPr>
              <w:t>jenny.lambinon@up.ac.za</w:t>
            </w:r>
            <w:r>
              <w:rPr>
                <w:b w:val="0"/>
                <w:sz w:val="20"/>
              </w:rPr>
              <w:t xml:space="preserve">  </w:t>
            </w:r>
          </w:p>
        </w:tc>
      </w:tr>
    </w:tbl>
    <w:p w:rsidR="00A415D2" w:rsidRDefault="00A415D2">
      <w:pPr>
        <w:ind w:left="-1800" w:right="7032"/>
        <w:jc w:val="left"/>
      </w:pPr>
    </w:p>
    <w:tbl>
      <w:tblPr>
        <w:tblStyle w:val="TableGrid"/>
        <w:tblW w:w="8520" w:type="dxa"/>
        <w:tblInd w:w="-107" w:type="dxa"/>
        <w:tblCellMar>
          <w:left w:w="88" w:type="dxa"/>
          <w:right w:w="59" w:type="dxa"/>
        </w:tblCellMar>
        <w:tblLook w:val="04A0" w:firstRow="1" w:lastRow="0" w:firstColumn="1" w:lastColumn="0" w:noHBand="0" w:noVBand="1"/>
      </w:tblPr>
      <w:tblGrid>
        <w:gridCol w:w="4218"/>
        <w:gridCol w:w="20"/>
        <w:gridCol w:w="2532"/>
        <w:gridCol w:w="1750"/>
      </w:tblGrid>
      <w:tr w:rsidR="00A415D2">
        <w:trPr>
          <w:trHeight w:val="490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15D2" w:rsidRDefault="00A1411B">
            <w:pPr>
              <w:ind w:right="52"/>
              <w:jc w:val="center"/>
            </w:pPr>
            <w:r>
              <w:t xml:space="preserve">Academic year </w:t>
            </w:r>
          </w:p>
        </w:tc>
      </w:tr>
      <w:tr w:rsidR="00A415D2">
        <w:trPr>
          <w:trHeight w:val="818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CF" w:rsidRDefault="00A1411B">
            <w:pPr>
              <w:spacing w:line="360" w:lineRule="auto"/>
              <w:ind w:left="1691" w:right="168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academic year comprises two semesters.</w:t>
            </w:r>
          </w:p>
          <w:p w:rsidR="00A415D2" w:rsidRDefault="00BB7B93">
            <w:pPr>
              <w:spacing w:line="360" w:lineRule="auto"/>
              <w:ind w:left="1691" w:right="1684"/>
              <w:jc w:val="center"/>
            </w:pPr>
            <w:r>
              <w:rPr>
                <w:b w:val="0"/>
                <w:sz w:val="20"/>
              </w:rPr>
              <w:t xml:space="preserve"> Semester 1: 15 March</w:t>
            </w:r>
            <w:r w:rsidR="00A1411B">
              <w:rPr>
                <w:b w:val="0"/>
                <w:sz w:val="20"/>
              </w:rPr>
              <w:t xml:space="preserve"> to </w:t>
            </w:r>
            <w:r>
              <w:rPr>
                <w:b w:val="0"/>
                <w:sz w:val="20"/>
              </w:rPr>
              <w:t>05 July</w:t>
            </w:r>
            <w:r w:rsidR="00A1411B">
              <w:rPr>
                <w:b w:val="0"/>
                <w:sz w:val="20"/>
              </w:rPr>
              <w:t xml:space="preserve"> </w:t>
            </w:r>
          </w:p>
          <w:p w:rsidR="00A415D2" w:rsidRDefault="00BB7B93">
            <w:pPr>
              <w:ind w:right="52"/>
              <w:jc w:val="center"/>
            </w:pPr>
            <w:r>
              <w:rPr>
                <w:b w:val="0"/>
                <w:sz w:val="20"/>
              </w:rPr>
              <w:t>Semester 2: 16 August to 26 November</w:t>
            </w:r>
          </w:p>
        </w:tc>
      </w:tr>
      <w:tr w:rsidR="00A415D2">
        <w:trPr>
          <w:trHeight w:val="974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15D2" w:rsidRDefault="00A1411B">
            <w:pPr>
              <w:jc w:val="center"/>
            </w:pPr>
            <w:r>
              <w:t>Closing dates for applications of incoming ex</w:t>
            </w:r>
            <w:r w:rsidR="00585820">
              <w:t xml:space="preserve">change and study abroad </w:t>
            </w:r>
            <w:r>
              <w:t xml:space="preserve">students </w:t>
            </w:r>
          </w:p>
        </w:tc>
      </w:tr>
      <w:tr w:rsidR="00A415D2">
        <w:trPr>
          <w:trHeight w:val="701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820" w:rsidRDefault="00585820" w:rsidP="00585820">
            <w:pPr>
              <w:ind w:left="1194" w:right="119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="00A1411B">
              <w:rPr>
                <w:b w:val="0"/>
                <w:sz w:val="20"/>
              </w:rPr>
              <w:t xml:space="preserve">Semester 1: 30 September </w:t>
            </w:r>
            <w:r>
              <w:rPr>
                <w:b w:val="0"/>
                <w:sz w:val="20"/>
              </w:rPr>
              <w:t xml:space="preserve">of the </w:t>
            </w:r>
            <w:proofErr w:type="spellStart"/>
            <w:r>
              <w:rPr>
                <w:b w:val="0"/>
                <w:sz w:val="20"/>
              </w:rPr>
              <w:t>proceeding</w:t>
            </w:r>
            <w:proofErr w:type="spellEnd"/>
            <w:r>
              <w:rPr>
                <w:b w:val="0"/>
                <w:sz w:val="20"/>
              </w:rPr>
              <w:t xml:space="preserve"> year</w:t>
            </w:r>
          </w:p>
          <w:p w:rsidR="00A415D2" w:rsidRDefault="00585820" w:rsidP="00585820">
            <w:pPr>
              <w:ind w:left="1194" w:right="1190"/>
              <w:jc w:val="both"/>
            </w:pPr>
            <w:r>
              <w:rPr>
                <w:b w:val="0"/>
                <w:sz w:val="20"/>
              </w:rPr>
              <w:t xml:space="preserve">  </w:t>
            </w:r>
            <w:r w:rsidR="00A1411B">
              <w:rPr>
                <w:b w:val="0"/>
                <w:sz w:val="20"/>
              </w:rPr>
              <w:t xml:space="preserve">Semester 2: 31 March </w:t>
            </w:r>
            <w:r>
              <w:rPr>
                <w:b w:val="0"/>
                <w:sz w:val="20"/>
              </w:rPr>
              <w:t xml:space="preserve">of the current year </w:t>
            </w:r>
          </w:p>
        </w:tc>
      </w:tr>
      <w:tr w:rsidR="00A415D2">
        <w:trPr>
          <w:trHeight w:val="492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15D2" w:rsidRDefault="00A1411B">
            <w:pPr>
              <w:ind w:right="48"/>
              <w:jc w:val="center"/>
            </w:pPr>
            <w:r>
              <w:t xml:space="preserve">Academic requirements </w:t>
            </w:r>
          </w:p>
        </w:tc>
      </w:tr>
      <w:tr w:rsidR="00A415D2">
        <w:trPr>
          <w:trHeight w:val="2425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sz w:val="20"/>
              </w:rPr>
              <w:t xml:space="preserve">Language requirements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spacing w:line="363" w:lineRule="auto"/>
              <w:ind w:left="1"/>
              <w:jc w:val="left"/>
            </w:pPr>
            <w:r>
              <w:rPr>
                <w:b w:val="0"/>
                <w:sz w:val="20"/>
              </w:rPr>
              <w:t xml:space="preserve">The English level required for all international exchange students will be: Test of English as a Foreign Language (TOEFL). Minimum marks required are: Writing: 22, Speaking: 23, Reading: 21,Listening: 27 </w:t>
            </w:r>
            <w:r>
              <w:rPr>
                <w:sz w:val="20"/>
              </w:rPr>
              <w:t>Total: 93</w:t>
            </w:r>
            <w:r>
              <w:rPr>
                <w:b w:val="0"/>
                <w:sz w:val="20"/>
              </w:rPr>
              <w:t xml:space="preserve">, through the medium of English  </w:t>
            </w:r>
          </w:p>
          <w:p w:rsidR="00A415D2" w:rsidRDefault="00A1411B">
            <w:pPr>
              <w:ind w:left="1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415D2">
        <w:trPr>
          <w:trHeight w:val="47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sz w:val="20"/>
              </w:rPr>
              <w:t xml:space="preserve">Areas and subjects available to exchange students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All courses, except selection courses, can be negotiated between students and faculty. </w:t>
            </w:r>
          </w:p>
        </w:tc>
      </w:tr>
      <w:tr w:rsidR="00A415D2">
        <w:trPr>
          <w:trHeight w:val="468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sz w:val="20"/>
              </w:rPr>
              <w:t xml:space="preserve">Courses at master’s level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Courses can be taken on master’s level, depending on each faculty’s requirements </w:t>
            </w:r>
          </w:p>
        </w:tc>
      </w:tr>
      <w:tr w:rsidR="00A415D2">
        <w:trPr>
          <w:trHeight w:val="1393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sz w:val="20"/>
              </w:rPr>
              <w:t xml:space="preserve">Choosing modules at UP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Each prospective exchange student must negotiate his/her own subjects/modules with the relevant academic department. A list of subjects/modules offered at the University of Pretoria (UP) is available at </w:t>
            </w:r>
            <w:hyperlink r:id="rId8">
              <w:r>
                <w:rPr>
                  <w:b w:val="0"/>
                  <w:color w:val="0000FF"/>
                  <w:sz w:val="20"/>
                  <w:u w:val="single" w:color="0000FF"/>
                </w:rPr>
                <w:t>http://www.up.ac.za</w:t>
              </w:r>
            </w:hyperlink>
            <w:hyperlink r:id="rId9">
              <w:r>
                <w:rPr>
                  <w:b w:val="0"/>
                  <w:sz w:val="20"/>
                </w:rPr>
                <w:t>.</w:t>
              </w:r>
            </w:hyperlink>
            <w:r>
              <w:rPr>
                <w:b w:val="0"/>
                <w:sz w:val="20"/>
              </w:rPr>
              <w:t xml:space="preserve"> </w:t>
            </w:r>
          </w:p>
        </w:tc>
      </w:tr>
      <w:tr w:rsidR="00A415D2">
        <w:trPr>
          <w:trHeight w:val="239"/>
        </w:trPr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On the top menu of the Home page, click on Study at UP.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A415D2" w:rsidRDefault="00A1411B">
            <w:pPr>
              <w:jc w:val="left"/>
            </w:pPr>
            <w:r>
              <w:rPr>
                <w:b w:val="0"/>
                <w:color w:val="FFFFFF"/>
                <w:sz w:val="20"/>
              </w:rPr>
              <w:t xml:space="preserve">Study at UP </w:t>
            </w:r>
          </w:p>
        </w:tc>
      </w:tr>
      <w:tr w:rsidR="00A415D2">
        <w:trPr>
          <w:trHeight w:val="469"/>
        </w:trPr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On the drop-down menu, select either Undergraduate or Postgraduate.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A415D2" w:rsidRDefault="00A1411B">
            <w:pPr>
              <w:jc w:val="left"/>
            </w:pPr>
            <w:r>
              <w:rPr>
                <w:b w:val="0"/>
                <w:color w:val="FFFFFF"/>
                <w:sz w:val="20"/>
              </w:rPr>
              <w:t xml:space="preserve">Undergraduate/ Postgraduate </w:t>
            </w:r>
          </w:p>
        </w:tc>
      </w:tr>
      <w:tr w:rsidR="00A415D2">
        <w:trPr>
          <w:trHeight w:val="562"/>
        </w:trPr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>On the left-hand menu, expand Study information.</w:t>
            </w:r>
            <w:r>
              <w:rPr>
                <w:b w:val="0"/>
                <w:i/>
                <w:sz w:val="20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A415D2" w:rsidRDefault="00A1411B">
            <w:pPr>
              <w:ind w:right="31"/>
              <w:jc w:val="left"/>
            </w:pPr>
            <w:r>
              <w:rPr>
                <w:b w:val="0"/>
                <w:color w:val="FFFFFF"/>
                <w:sz w:val="20"/>
              </w:rPr>
              <w:t xml:space="preserve">Study information   </w:t>
            </w:r>
            <w:r>
              <w:rPr>
                <w:b w:val="0"/>
                <w:color w:val="FFFFFF"/>
              </w:rPr>
              <w:t xml:space="preserve">+ </w:t>
            </w:r>
          </w:p>
        </w:tc>
      </w:tr>
      <w:tr w:rsidR="00A415D2">
        <w:trPr>
          <w:trHeight w:val="469"/>
        </w:trPr>
        <w:tc>
          <w:tcPr>
            <w:tcW w:w="6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Click on Yearbook information.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A415D2" w:rsidRDefault="00A1411B">
            <w:pPr>
              <w:jc w:val="left"/>
            </w:pPr>
            <w:r>
              <w:rPr>
                <w:b w:val="0"/>
                <w:color w:val="FFFFFF"/>
                <w:sz w:val="20"/>
              </w:rPr>
              <w:t xml:space="preserve">Yearbook information </w:t>
            </w:r>
          </w:p>
        </w:tc>
      </w:tr>
      <w:tr w:rsidR="00A415D2">
        <w:trPr>
          <w:trHeight w:val="700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:rsidR="00A415D2" w:rsidRDefault="00A1411B">
            <w:pPr>
              <w:ind w:right="11"/>
              <w:jc w:val="left"/>
            </w:pPr>
            <w:r>
              <w:rPr>
                <w:b w:val="0"/>
                <w:color w:val="FFFFFF"/>
                <w:sz w:val="20"/>
              </w:rPr>
              <w:lastRenderedPageBreak/>
              <w:t xml:space="preserve">Select your relevant yearbook and choose your subjects/modules. Please note that you may </w:t>
            </w:r>
            <w:r>
              <w:rPr>
                <w:color w:val="FFFFFF"/>
                <w:sz w:val="20"/>
              </w:rPr>
              <w:t>not</w:t>
            </w:r>
            <w:r>
              <w:rPr>
                <w:b w:val="0"/>
                <w:color w:val="FFFFFF"/>
                <w:sz w:val="20"/>
              </w:rPr>
              <w:t xml:space="preserve"> choose year subjects/modules. Only semester subjects/modules will be </w:t>
            </w:r>
            <w:proofErr w:type="gramStart"/>
            <w:r>
              <w:rPr>
                <w:b w:val="0"/>
                <w:color w:val="FFFFFF"/>
                <w:sz w:val="20"/>
              </w:rPr>
              <w:t>taken into account</w:t>
            </w:r>
            <w:proofErr w:type="gramEnd"/>
            <w:r>
              <w:rPr>
                <w:b w:val="0"/>
                <w:color w:val="FFFFFF"/>
                <w:sz w:val="20"/>
              </w:rPr>
              <w:t xml:space="preserve"> for academic credits. </w:t>
            </w:r>
          </w:p>
        </w:tc>
      </w:tr>
      <w:tr w:rsidR="00A415D2">
        <w:trPr>
          <w:trHeight w:val="93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sz w:val="20"/>
              </w:rPr>
              <w:t xml:space="preserve">Credits and grading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Each student will carry a normal study load per semester. Credits obtained will depend on the number of modules prescribed for a specific degree programme. </w:t>
            </w:r>
          </w:p>
        </w:tc>
      </w:tr>
      <w:tr w:rsidR="00A415D2">
        <w:trPr>
          <w:trHeight w:val="47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sz w:val="20"/>
              </w:rPr>
              <w:t xml:space="preserve">Grading of credits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Grading values are given in percentages. The minimum pass for each module taken is 50%. </w:t>
            </w:r>
          </w:p>
        </w:tc>
      </w:tr>
      <w:tr w:rsidR="00A415D2">
        <w:trPr>
          <w:trHeight w:val="492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15D2" w:rsidRDefault="00A1411B">
            <w:pPr>
              <w:ind w:right="52"/>
              <w:jc w:val="center"/>
            </w:pPr>
            <w:r>
              <w:t xml:space="preserve">Accommodation </w:t>
            </w:r>
          </w:p>
        </w:tc>
      </w:tr>
      <w:tr w:rsidR="00A415D2">
        <w:trPr>
          <w:trHeight w:val="70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sz w:val="20"/>
              </w:rPr>
              <w:t xml:space="preserve"> </w:t>
            </w:r>
          </w:p>
          <w:p w:rsidR="00A415D2" w:rsidRDefault="00A1411B">
            <w:pPr>
              <w:jc w:val="left"/>
            </w:pPr>
            <w:r>
              <w:rPr>
                <w:sz w:val="20"/>
              </w:rPr>
              <w:t xml:space="preserve">Formal UP accommodation 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"/>
              <w:jc w:val="left"/>
            </w:pPr>
            <w:r>
              <w:rPr>
                <w:b w:val="0"/>
                <w:sz w:val="20"/>
              </w:rPr>
              <w:t xml:space="preserve">The ICD will assist students in obtaining accommodation on campus. However, accommodation will be allocated on a first </w:t>
            </w:r>
          </w:p>
        </w:tc>
      </w:tr>
      <w:tr w:rsidR="00A415D2">
        <w:trPr>
          <w:trHeight w:val="470"/>
        </w:trPr>
        <w:tc>
          <w:tcPr>
            <w:tcW w:w="4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415D2">
            <w:pPr>
              <w:spacing w:after="160"/>
              <w:jc w:val="left"/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come, first served basis and is not guaranteed. </w:t>
            </w:r>
          </w:p>
        </w:tc>
      </w:tr>
      <w:tr w:rsidR="00A415D2">
        <w:trPr>
          <w:trHeight w:val="4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5D2" w:rsidRDefault="00A415D2">
            <w:pPr>
              <w:spacing w:after="160"/>
              <w:jc w:val="left"/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both"/>
            </w:pPr>
            <w:r>
              <w:rPr>
                <w:b w:val="0"/>
                <w:sz w:val="20"/>
              </w:rPr>
              <w:t xml:space="preserve">Accommodation is situated in Hatfield and the surrounding areas. </w:t>
            </w:r>
          </w:p>
        </w:tc>
      </w:tr>
      <w:tr w:rsidR="00A415D2">
        <w:trPr>
          <w:trHeight w:val="69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5D2" w:rsidRDefault="00A415D2">
            <w:pPr>
              <w:spacing w:after="160"/>
              <w:jc w:val="left"/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Exchange students must apply for accommodation via the ICD when applying to study at UP. </w:t>
            </w:r>
          </w:p>
        </w:tc>
      </w:tr>
      <w:tr w:rsidR="00A415D2">
        <w:trPr>
          <w:trHeight w:val="4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415D2">
            <w:pPr>
              <w:spacing w:after="160"/>
              <w:jc w:val="left"/>
            </w:pP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B1204" w:rsidP="00AB1204">
            <w:pPr>
              <w:jc w:val="left"/>
            </w:pPr>
            <w:r>
              <w:rPr>
                <w:b w:val="0"/>
                <w:sz w:val="20"/>
              </w:rPr>
              <w:t>Accommodation is currently R4 450</w:t>
            </w:r>
            <w:r w:rsidR="00A1411B">
              <w:rPr>
                <w:b w:val="0"/>
                <w:sz w:val="20"/>
              </w:rPr>
              <w:t xml:space="preserve">, 00 per </w:t>
            </w:r>
            <w:r w:rsidR="006928D1">
              <w:rPr>
                <w:b w:val="0"/>
                <w:sz w:val="20"/>
              </w:rPr>
              <w:t>month subject to change for 2021</w:t>
            </w:r>
            <w:r w:rsidR="00A1411B">
              <w:rPr>
                <w:b w:val="0"/>
                <w:sz w:val="20"/>
              </w:rPr>
              <w:t xml:space="preserve"> and is for the student’s own account. </w:t>
            </w:r>
            <w:r w:rsidR="007E515C">
              <w:rPr>
                <w:b w:val="0"/>
                <w:sz w:val="20"/>
              </w:rPr>
              <w:t>The total amount for the semester</w:t>
            </w:r>
            <w:r w:rsidR="001060D2">
              <w:rPr>
                <w:b w:val="0"/>
                <w:sz w:val="20"/>
              </w:rPr>
              <w:t xml:space="preserve"> </w:t>
            </w:r>
            <w:r w:rsidR="006928D1">
              <w:rPr>
                <w:b w:val="0"/>
                <w:sz w:val="20"/>
              </w:rPr>
              <w:t>2020</w:t>
            </w:r>
            <w:r>
              <w:rPr>
                <w:b w:val="0"/>
                <w:sz w:val="20"/>
              </w:rPr>
              <w:t xml:space="preserve"> </w:t>
            </w:r>
            <w:r w:rsidR="001060D2">
              <w:rPr>
                <w:b w:val="0"/>
                <w:sz w:val="20"/>
              </w:rPr>
              <w:t>is R26700.</w:t>
            </w:r>
            <w:proofErr w:type="gramStart"/>
            <w:r w:rsidR="001060D2">
              <w:rPr>
                <w:b w:val="0"/>
                <w:sz w:val="20"/>
              </w:rPr>
              <w:t>00</w:t>
            </w:r>
            <w:r>
              <w:rPr>
                <w:b w:val="0"/>
                <w:sz w:val="20"/>
              </w:rPr>
              <w:t>.+</w:t>
            </w:r>
            <w:proofErr w:type="gramEnd"/>
            <w:r>
              <w:rPr>
                <w:b w:val="0"/>
                <w:sz w:val="20"/>
              </w:rPr>
              <w:t>+</w:t>
            </w:r>
          </w:p>
        </w:tc>
      </w:tr>
      <w:tr w:rsidR="00A415D2">
        <w:trPr>
          <w:trHeight w:val="938"/>
        </w:trPr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415D2" w:rsidRDefault="00A1411B">
            <w:pPr>
              <w:ind w:left="19"/>
              <w:jc w:val="left"/>
            </w:pPr>
            <w:r>
              <w:rPr>
                <w:sz w:val="20"/>
              </w:rPr>
              <w:t xml:space="preserve">Alternative accommodation 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415D2" w:rsidRDefault="00A1411B">
            <w:pPr>
              <w:jc w:val="left"/>
            </w:pPr>
            <w:r>
              <w:rPr>
                <w:b w:val="0"/>
                <w:sz w:val="20"/>
              </w:rPr>
              <w:t xml:space="preserve">Private accommodation companies on campus will assist students in finding accommodation, should formal accommodation not be available. </w:t>
            </w:r>
          </w:p>
        </w:tc>
      </w:tr>
      <w:tr w:rsidR="00A415D2">
        <w:trPr>
          <w:trHeight w:val="493"/>
        </w:trPr>
        <w:tc>
          <w:tcPr>
            <w:tcW w:w="85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15D2" w:rsidRDefault="00A1411B">
            <w:pPr>
              <w:ind w:right="27"/>
              <w:jc w:val="center"/>
            </w:pPr>
            <w:r>
              <w:t xml:space="preserve">Immigration </w:t>
            </w:r>
          </w:p>
        </w:tc>
      </w:tr>
      <w:tr w:rsidR="00A415D2">
        <w:trPr>
          <w:trHeight w:val="932"/>
        </w:trPr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9"/>
              <w:jc w:val="left"/>
            </w:pPr>
            <w:r>
              <w:rPr>
                <w:sz w:val="20"/>
              </w:rPr>
              <w:t xml:space="preserve">Study visa 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41"/>
              <w:jc w:val="left"/>
            </w:pPr>
            <w:r>
              <w:rPr>
                <w:b w:val="0"/>
                <w:sz w:val="20"/>
              </w:rPr>
              <w:t xml:space="preserve">As soon as they have been admitted, students must apply for study visas at the South African High Commission in their home countries or nearest neighbouring country. </w:t>
            </w:r>
          </w:p>
        </w:tc>
      </w:tr>
      <w:tr w:rsidR="00A415D2">
        <w:trPr>
          <w:trHeight w:val="1850"/>
        </w:trPr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6928D1">
            <w:pPr>
              <w:ind w:left="19"/>
              <w:jc w:val="left"/>
            </w:pPr>
            <w:r>
              <w:rPr>
                <w:sz w:val="20"/>
              </w:rPr>
              <w:t>Recommended</w:t>
            </w:r>
            <w:r w:rsidR="00A1411B">
              <w:rPr>
                <w:sz w:val="20"/>
              </w:rPr>
              <w:t xml:space="preserve"> medical cover 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spacing w:after="1" w:line="241" w:lineRule="auto"/>
              <w:ind w:left="41" w:right="48"/>
              <w:jc w:val="left"/>
            </w:pPr>
            <w:r>
              <w:rPr>
                <w:b w:val="0"/>
                <w:sz w:val="20"/>
              </w:rPr>
              <w:t xml:space="preserve">Students must join Momentum Health (Ingwe option) </w:t>
            </w:r>
            <w:r w:rsidR="00A363CE">
              <w:rPr>
                <w:b w:val="0"/>
                <w:sz w:val="20"/>
              </w:rPr>
              <w:t>and Comp C</w:t>
            </w:r>
            <w:r w:rsidR="002672E2">
              <w:rPr>
                <w:b w:val="0"/>
                <w:sz w:val="20"/>
              </w:rPr>
              <w:t>are Medical Scheme</w:t>
            </w:r>
            <w:r w:rsidR="006928D1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in order for them to be registered. Health insurance or foreign medical cover will not be accepted. Students can apply online at </w:t>
            </w:r>
            <w:hyperlink r:id="rId10">
              <w:r>
                <w:rPr>
                  <w:b w:val="0"/>
                  <w:color w:val="0000FF"/>
                  <w:sz w:val="20"/>
                  <w:u w:val="single" w:color="0000FF"/>
                </w:rPr>
                <w:t>www.ingwehealth.co.za</w:t>
              </w:r>
            </w:hyperlink>
            <w:r w:rsidR="007067B2">
              <w:t xml:space="preserve"> </w:t>
            </w:r>
            <w:r w:rsidR="007067B2">
              <w:rPr>
                <w:b w:val="0"/>
                <w:sz w:val="20"/>
                <w:szCs w:val="20"/>
              </w:rPr>
              <w:t xml:space="preserve">and </w:t>
            </w:r>
            <w:r>
              <w:rPr>
                <w:b w:val="0"/>
                <w:sz w:val="20"/>
              </w:rPr>
              <w:t xml:space="preserve"> </w:t>
            </w:r>
            <w:hyperlink r:id="rId11" w:history="1">
              <w:r w:rsidR="007067B2" w:rsidRPr="00D13143">
                <w:rPr>
                  <w:rStyle w:val="Hyperlink"/>
                  <w:b w:val="0"/>
                  <w:sz w:val="20"/>
                </w:rPr>
                <w:t>https://compcare.co.za/</w:t>
              </w:r>
            </w:hyperlink>
            <w:r w:rsidR="007067B2">
              <w:rPr>
                <w:b w:val="0"/>
                <w:sz w:val="20"/>
              </w:rPr>
              <w:t xml:space="preserve"> </w:t>
            </w:r>
          </w:p>
          <w:p w:rsidR="00A415D2" w:rsidRDefault="00A1411B">
            <w:pPr>
              <w:ind w:left="41" w:right="16"/>
              <w:jc w:val="left"/>
            </w:pPr>
            <w:r>
              <w:rPr>
                <w:b w:val="0"/>
                <w:sz w:val="20"/>
              </w:rPr>
              <w:t xml:space="preserve">Medical cover must be paid in advance for the full period for which the study visa is issued. No exceptions will be made. </w:t>
            </w:r>
          </w:p>
        </w:tc>
      </w:tr>
      <w:tr w:rsidR="00A415D2">
        <w:trPr>
          <w:trHeight w:val="330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415D2" w:rsidRDefault="00A1411B">
            <w:pPr>
              <w:ind w:right="27"/>
              <w:jc w:val="center"/>
            </w:pPr>
            <w:r>
              <w:t xml:space="preserve">General information </w:t>
            </w:r>
          </w:p>
        </w:tc>
      </w:tr>
      <w:tr w:rsidR="00A415D2">
        <w:trPr>
          <w:trHeight w:val="930"/>
        </w:trPr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9"/>
              <w:jc w:val="left"/>
            </w:pPr>
            <w:r>
              <w:rPr>
                <w:sz w:val="20"/>
              </w:rPr>
              <w:t xml:space="preserve">Special orientation programme 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41" w:right="4"/>
              <w:jc w:val="left"/>
            </w:pPr>
            <w:r>
              <w:rPr>
                <w:b w:val="0"/>
                <w:sz w:val="20"/>
              </w:rPr>
              <w:t xml:space="preserve">The ICD hosts a special orientation programme for all newcomers to UP. It is compulsory for all exchange and study abroad students to attend this programme. </w:t>
            </w:r>
          </w:p>
        </w:tc>
      </w:tr>
      <w:tr w:rsidR="00A415D2">
        <w:trPr>
          <w:trHeight w:val="701"/>
        </w:trPr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9"/>
              <w:jc w:val="left"/>
            </w:pPr>
            <w:r>
              <w:rPr>
                <w:sz w:val="20"/>
              </w:rPr>
              <w:t xml:space="preserve">Estimated living costs 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41" w:right="48"/>
              <w:jc w:val="left"/>
            </w:pPr>
            <w:r>
              <w:rPr>
                <w:b w:val="0"/>
                <w:sz w:val="20"/>
              </w:rPr>
              <w:t>It is advised that stude</w:t>
            </w:r>
            <w:r w:rsidR="00A363CE">
              <w:rPr>
                <w:b w:val="0"/>
                <w:sz w:val="20"/>
              </w:rPr>
              <w:t>nts prepare to spend at least R6</w:t>
            </w:r>
            <w:r>
              <w:rPr>
                <w:b w:val="0"/>
                <w:sz w:val="20"/>
              </w:rPr>
              <w:t xml:space="preserve"> 000, 00 (ZAR) per month for the duration of their stay. </w:t>
            </w:r>
          </w:p>
        </w:tc>
      </w:tr>
      <w:tr w:rsidR="00A415D2">
        <w:trPr>
          <w:trHeight w:val="929"/>
        </w:trPr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19"/>
              <w:jc w:val="left"/>
            </w:pPr>
            <w:r>
              <w:rPr>
                <w:sz w:val="20"/>
              </w:rPr>
              <w:t xml:space="preserve">Leisure time 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D2" w:rsidRDefault="00A1411B">
            <w:pPr>
              <w:ind w:left="41"/>
              <w:jc w:val="left"/>
            </w:pPr>
            <w:r>
              <w:rPr>
                <w:b w:val="0"/>
                <w:sz w:val="20"/>
              </w:rPr>
              <w:t xml:space="preserve">South Africa offers a range of activities that people from abroad will enjoy. ICD staff members can assist you in organising field trips, etc. </w:t>
            </w:r>
          </w:p>
        </w:tc>
      </w:tr>
    </w:tbl>
    <w:p w:rsidR="00A415D2" w:rsidRDefault="00A1411B">
      <w:pPr>
        <w:spacing w:after="113"/>
        <w:jc w:val="both"/>
      </w:pPr>
      <w:r>
        <w:rPr>
          <w:b w:val="0"/>
          <w:sz w:val="20"/>
        </w:rPr>
        <w:lastRenderedPageBreak/>
        <w:t xml:space="preserve"> </w:t>
      </w:r>
    </w:p>
    <w:p w:rsidR="00A415D2" w:rsidRDefault="00A1411B">
      <w:pPr>
        <w:jc w:val="both"/>
      </w:pPr>
      <w:r>
        <w:rPr>
          <w:rFonts w:ascii="Verdana" w:eastAsia="Verdana" w:hAnsi="Verdana" w:cs="Verdana"/>
          <w:i/>
          <w:sz w:val="20"/>
        </w:rPr>
        <w:t xml:space="preserve"> </w:t>
      </w:r>
    </w:p>
    <w:sectPr w:rsidR="00A415D2">
      <w:pgSz w:w="11906" w:h="16838"/>
      <w:pgMar w:top="1445" w:right="4875" w:bottom="165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D2"/>
    <w:rsid w:val="00040536"/>
    <w:rsid w:val="001060D2"/>
    <w:rsid w:val="002672E2"/>
    <w:rsid w:val="002D22AB"/>
    <w:rsid w:val="00355BB7"/>
    <w:rsid w:val="003C7EE1"/>
    <w:rsid w:val="00585820"/>
    <w:rsid w:val="00624811"/>
    <w:rsid w:val="006928D1"/>
    <w:rsid w:val="007067B2"/>
    <w:rsid w:val="007E515C"/>
    <w:rsid w:val="00885C9E"/>
    <w:rsid w:val="0089627D"/>
    <w:rsid w:val="00A1411B"/>
    <w:rsid w:val="00A363CE"/>
    <w:rsid w:val="00A415D2"/>
    <w:rsid w:val="00AB1204"/>
    <w:rsid w:val="00BB7B93"/>
    <w:rsid w:val="00ED312A"/>
    <w:rsid w:val="00F27CCF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B25565-D7FE-4C11-BCA7-EF6F2254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141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C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CF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ac.z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anny.bokaba@up.ac.z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.ac.za/international-cooperation-division" TargetMode="External"/><Relationship Id="rId11" Type="http://schemas.openxmlformats.org/officeDocument/2006/relationships/hyperlink" Target="https://compcare.co.za/" TargetMode="External"/><Relationship Id="rId5" Type="http://schemas.openxmlformats.org/officeDocument/2006/relationships/hyperlink" Target="mailto:isd@up.ac.za" TargetMode="External"/><Relationship Id="rId10" Type="http://schemas.openxmlformats.org/officeDocument/2006/relationships/hyperlink" Target="http://www.ingwehealth.co.z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up.ac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the academic year 2009-2010</vt:lpstr>
    </vt:vector>
  </TitlesOfParts>
  <Company>University of Pretoria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the academic year 2009-2010</dc:title>
  <dc:subject/>
  <dc:creator>MM.Koppen</dc:creator>
  <cp:keywords/>
  <cp:lastModifiedBy>Miss. MR Mphahlele</cp:lastModifiedBy>
  <cp:revision>2</cp:revision>
  <cp:lastPrinted>2019-06-06T08:50:00Z</cp:lastPrinted>
  <dcterms:created xsi:type="dcterms:W3CDTF">2020-10-21T12:42:00Z</dcterms:created>
  <dcterms:modified xsi:type="dcterms:W3CDTF">2020-10-21T12:42:00Z</dcterms:modified>
</cp:coreProperties>
</file>