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35" w:rsidRPr="00AF1227" w:rsidRDefault="00AF1227">
      <w:pPr>
        <w:spacing w:after="52" w:line="259" w:lineRule="auto"/>
        <w:ind w:left="0" w:firstLine="0"/>
        <w:jc w:val="left"/>
      </w:pPr>
      <w:bookmarkStart w:id="0" w:name="_GoBack"/>
      <w:proofErr w:type="spellStart"/>
      <w:r w:rsidRPr="00AF1227">
        <w:rPr>
          <w:rFonts w:eastAsia="Arial"/>
          <w:b/>
        </w:rPr>
        <w:t>Article</w:t>
      </w:r>
      <w:proofErr w:type="spellEnd"/>
      <w:r w:rsidRPr="00AF1227">
        <w:rPr>
          <w:rFonts w:eastAsia="Arial"/>
          <w:b/>
        </w:rPr>
        <w:t xml:space="preserve"> 1 - </w:t>
      </w:r>
      <w:proofErr w:type="spellStart"/>
      <w:r w:rsidRPr="00AF1227">
        <w:rPr>
          <w:rFonts w:eastAsia="Arial"/>
          <w:b/>
        </w:rPr>
        <w:t>Awarding</w:t>
      </w:r>
      <w:proofErr w:type="spellEnd"/>
      <w:r w:rsidRPr="00AF1227">
        <w:rPr>
          <w:rFonts w:eastAsia="Arial"/>
          <w:b/>
        </w:rPr>
        <w:t xml:space="preserve"> </w:t>
      </w:r>
      <w:proofErr w:type="spellStart"/>
      <w:r w:rsidRPr="00AF1227">
        <w:rPr>
          <w:rFonts w:eastAsia="Arial"/>
          <w:b/>
        </w:rPr>
        <w:t>distinctions</w:t>
      </w:r>
      <w:proofErr w:type="spellEnd"/>
      <w:r w:rsidRPr="00AF1227">
        <w:rPr>
          <w:rFonts w:eastAsia="Arial"/>
          <w:b/>
        </w:rPr>
        <w:t xml:space="preserve"> </w:t>
      </w:r>
    </w:p>
    <w:p w:rsidR="004C1E35" w:rsidRPr="00AF1227" w:rsidRDefault="00AF1227">
      <w:pPr>
        <w:numPr>
          <w:ilvl w:val="0"/>
          <w:numId w:val="1"/>
        </w:numPr>
        <w:spacing w:after="0" w:line="311" w:lineRule="auto"/>
        <w:ind w:hanging="720"/>
        <w:rPr>
          <w:lang w:val="en-US"/>
        </w:rPr>
      </w:pPr>
      <w:r w:rsidRPr="00AF1227">
        <w:rPr>
          <w:lang w:val="en-US"/>
        </w:rPr>
        <w:t>With due observance of the provisions set out in this article, the Examination Board is responsible for the decision of whether a distinction shall be awarded and if so, which distinction.</w:t>
      </w:r>
    </w:p>
    <w:p w:rsidR="004C1E35" w:rsidRPr="00AF1227" w:rsidRDefault="00AF1227">
      <w:pPr>
        <w:numPr>
          <w:ilvl w:val="0"/>
          <w:numId w:val="1"/>
        </w:numPr>
        <w:spacing w:after="52"/>
        <w:ind w:hanging="720"/>
      </w:pPr>
      <w:r w:rsidRPr="00AF1227">
        <w:t xml:space="preserve">The </w:t>
      </w:r>
      <w:proofErr w:type="spellStart"/>
      <w:r w:rsidRPr="00AF1227">
        <w:t>distinctions</w:t>
      </w:r>
      <w:proofErr w:type="spellEnd"/>
    </w:p>
    <w:p w:rsidR="004C1E35" w:rsidRPr="00AF1227" w:rsidRDefault="00AF1227">
      <w:pPr>
        <w:numPr>
          <w:ilvl w:val="1"/>
          <w:numId w:val="1"/>
        </w:numPr>
        <w:spacing w:after="39"/>
        <w:ind w:hanging="360"/>
        <w:rPr>
          <w:lang w:val="en-US"/>
        </w:rPr>
      </w:pPr>
      <w:r w:rsidRPr="00AF1227">
        <w:rPr>
          <w:lang w:val="en-US"/>
        </w:rPr>
        <w:t>“cum laude” shall be awarded if the weighted average result of the final assessment of the components referred to in clause 3 is equal to or higher than 8.0, or</w:t>
      </w:r>
    </w:p>
    <w:p w:rsidR="004C1E35" w:rsidRPr="00AF1227" w:rsidRDefault="00AF1227">
      <w:pPr>
        <w:numPr>
          <w:ilvl w:val="1"/>
          <w:numId w:val="1"/>
        </w:numPr>
        <w:ind w:hanging="360"/>
        <w:rPr>
          <w:lang w:val="en-US"/>
        </w:rPr>
      </w:pPr>
      <w:r w:rsidRPr="00AF1227">
        <w:rPr>
          <w:lang w:val="en-US"/>
        </w:rPr>
        <w:t>“summa cum laude” shall be awarded if the weighted average result of the final assessment of th</w:t>
      </w:r>
      <w:r w:rsidRPr="00AF1227">
        <w:rPr>
          <w:lang w:val="en-US"/>
        </w:rPr>
        <w:t>e components referred to in clause 3 is equal to or higher than 9.0.</w:t>
      </w:r>
    </w:p>
    <w:p w:rsidR="004C1E35" w:rsidRPr="00AF1227" w:rsidRDefault="00AF1227">
      <w:pPr>
        <w:numPr>
          <w:ilvl w:val="0"/>
          <w:numId w:val="1"/>
        </w:numPr>
        <w:ind w:hanging="720"/>
        <w:rPr>
          <w:lang w:val="en-US"/>
        </w:rPr>
      </w:pPr>
      <w:r w:rsidRPr="00AF1227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3048</wp:posOffset>
                </wp:positionH>
                <wp:positionV relativeFrom="page">
                  <wp:posOffset>9238080</wp:posOffset>
                </wp:positionV>
                <wp:extent cx="7559040" cy="1356360"/>
                <wp:effectExtent l="0" t="0" r="0" b="0"/>
                <wp:wrapTopAndBottom/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356360"/>
                          <a:chOff x="0" y="0"/>
                          <a:chExt cx="7559040" cy="135636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210"/>
                            <a:ext cx="7559040" cy="120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844245" y="562049"/>
                            <a:ext cx="33951" cy="178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E35" w:rsidRDefault="00AF12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70179" y="594074"/>
                            <a:ext cx="126138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E35" w:rsidRDefault="00AF12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Distinction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Regulations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17671" y="562049"/>
                            <a:ext cx="101177" cy="178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E35" w:rsidRDefault="00AF12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92973" y="594074"/>
                            <a:ext cx="51391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E35" w:rsidRDefault="00AF12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017-2018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79383" y="562049"/>
                            <a:ext cx="33951" cy="178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1E35" w:rsidRDefault="00AF12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7" style="width:595.2pt;height:106.8pt;position:absolute;mso-position-horizontal-relative:page;mso-position-horizontal:absolute;margin-left:0.240005pt;mso-position-vertical-relative:page;margin-top:727.408pt;" coordsize="75590,13563">
                <v:shape id="Picture 16" style="position:absolute;width:75590;height:12001;left:0;top:0;" filled="f">
                  <v:imagedata r:id="rId6"/>
                </v:shape>
                <v:shape id="Picture 18" style="position:absolute;width:75590;height:12001;left:0;top:1562;" filled="f">
                  <v:imagedata r:id="rId6"/>
                </v:shape>
                <v:rect id="Rectangle 19" style="position:absolute;width:339;height:1784;left:8442;top:5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12613;height:1235;left:8701;top:5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Distinction Regulations</w:t>
                        </w:r>
                      </w:p>
                    </w:txbxContent>
                  </v:textbox>
                </v:rect>
                <v:rect id="Rectangle 21" style="position:absolute;width:1011;height:1784;left:18176;top:5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22" style="position:absolute;width:5139;height:1235;left:18929;top:5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017-2018</w:t>
                        </w:r>
                      </w:p>
                    </w:txbxContent>
                  </v:textbox>
                </v:rect>
                <v:rect id="Rectangle 23" style="position:absolute;width:339;height:1784;left:22793;top:5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Pr="00AF1227">
        <w:rPr>
          <w:lang w:val="en-US"/>
        </w:rPr>
        <w:t xml:space="preserve">The distinction shall be calculated on the basis of all components of the examination </w:t>
      </w:r>
      <w:proofErr w:type="spellStart"/>
      <w:r w:rsidRPr="00AF1227">
        <w:rPr>
          <w:lang w:val="en-US"/>
        </w:rPr>
        <w:t>programme</w:t>
      </w:r>
      <w:proofErr w:type="spellEnd"/>
      <w:r w:rsidRPr="00AF1227">
        <w:rPr>
          <w:lang w:val="en-US"/>
        </w:rPr>
        <w:t xml:space="preserve"> for which a mark has been awarded on a s</w:t>
      </w:r>
      <w:r w:rsidRPr="00AF1227">
        <w:rPr>
          <w:lang w:val="en-US"/>
        </w:rPr>
        <w:t>cale from 1 to 10, with the exception of extra-curricular components.</w:t>
      </w:r>
    </w:p>
    <w:p w:rsidR="004C1E35" w:rsidRPr="00AF1227" w:rsidRDefault="00AF1227">
      <w:pPr>
        <w:numPr>
          <w:ilvl w:val="0"/>
          <w:numId w:val="1"/>
        </w:numPr>
        <w:ind w:hanging="720"/>
        <w:rPr>
          <w:lang w:val="en-US"/>
        </w:rPr>
      </w:pPr>
      <w:r w:rsidRPr="00AF1227">
        <w:rPr>
          <w:lang w:val="en-US"/>
        </w:rPr>
        <w:t xml:space="preserve">The number of EC of the component referred to in clause 3 shall serve as the weighting factor for the calculation of the weighted average result, unless stipulated otherwise in the </w:t>
      </w:r>
      <w:proofErr w:type="spellStart"/>
      <w:r w:rsidRPr="00AF1227">
        <w:rPr>
          <w:lang w:val="en-US"/>
        </w:rPr>
        <w:t>progr</w:t>
      </w:r>
      <w:r w:rsidRPr="00AF1227">
        <w:rPr>
          <w:lang w:val="en-US"/>
        </w:rPr>
        <w:t>ammespecific</w:t>
      </w:r>
      <w:proofErr w:type="spellEnd"/>
      <w:r w:rsidRPr="00AF1227">
        <w:rPr>
          <w:lang w:val="en-US"/>
        </w:rPr>
        <w:t xml:space="preserve"> part of these regulations.</w:t>
      </w:r>
    </w:p>
    <w:p w:rsidR="004C1E35" w:rsidRPr="00AF1227" w:rsidRDefault="00AF1227">
      <w:pPr>
        <w:numPr>
          <w:ilvl w:val="0"/>
          <w:numId w:val="1"/>
        </w:numPr>
        <w:ind w:hanging="720"/>
        <w:rPr>
          <w:lang w:val="en-US"/>
        </w:rPr>
      </w:pPr>
      <w:r w:rsidRPr="00AF1227">
        <w:rPr>
          <w:lang w:val="en-US"/>
        </w:rPr>
        <w:t xml:space="preserve">The distinction shall not be awarded if more than 10 percent of the total study load of the examinations </w:t>
      </w:r>
      <w:proofErr w:type="spellStart"/>
      <w:r w:rsidRPr="00AF1227">
        <w:rPr>
          <w:lang w:val="en-US"/>
        </w:rPr>
        <w:t>programme</w:t>
      </w:r>
      <w:proofErr w:type="spellEnd"/>
      <w:r w:rsidRPr="00AF1227">
        <w:rPr>
          <w:lang w:val="en-US"/>
        </w:rPr>
        <w:t xml:space="preserve"> (being one or more components) has been re-sat and if examinations have been re-sat more than once, u</w:t>
      </w:r>
      <w:r w:rsidRPr="00AF1227">
        <w:rPr>
          <w:lang w:val="en-US"/>
        </w:rPr>
        <w:t>nless the Examination Board exercises its authority to decide otherwise, stating the reasons for this decision.</w:t>
      </w:r>
    </w:p>
    <w:p w:rsidR="004C1E35" w:rsidRPr="00AF1227" w:rsidRDefault="00AF1227">
      <w:pPr>
        <w:numPr>
          <w:ilvl w:val="0"/>
          <w:numId w:val="1"/>
        </w:numPr>
        <w:ind w:hanging="720"/>
        <w:rPr>
          <w:lang w:val="en-US"/>
        </w:rPr>
      </w:pPr>
      <w:r w:rsidRPr="00AF1227">
        <w:rPr>
          <w:lang w:val="en-US"/>
        </w:rPr>
        <w:t xml:space="preserve">The distinction shall not be awarded if fraud was discovered in one of the examinations of the degree </w:t>
      </w:r>
      <w:proofErr w:type="spellStart"/>
      <w:r w:rsidRPr="00AF1227">
        <w:rPr>
          <w:lang w:val="en-US"/>
        </w:rPr>
        <w:t>programme</w:t>
      </w:r>
      <w:proofErr w:type="spellEnd"/>
      <w:r w:rsidRPr="00AF1227">
        <w:rPr>
          <w:lang w:val="en-US"/>
        </w:rPr>
        <w:t>.</w:t>
      </w:r>
      <w:bookmarkEnd w:id="0"/>
    </w:p>
    <w:sectPr w:rsidR="004C1E35" w:rsidRPr="00AF1227">
      <w:pgSz w:w="11906" w:h="16838"/>
      <w:pgMar w:top="1440" w:right="1460" w:bottom="1440" w:left="13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1458"/>
    <w:multiLevelType w:val="hybridMultilevel"/>
    <w:tmpl w:val="5BA432E2"/>
    <w:lvl w:ilvl="0" w:tplc="6D0AB5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6865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292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29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AE2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ABA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609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E6E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0EB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35"/>
    <w:rsid w:val="004C1E35"/>
    <w:rsid w:val="00A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471B6-AC59-474D-994C-B272AD5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 w:line="312" w:lineRule="auto"/>
      <w:ind w:left="730" w:hanging="7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U926137</dc:creator>
  <cp:keywords/>
  <cp:lastModifiedBy>Maathuis, C.J.M. (Carry)</cp:lastModifiedBy>
  <cp:revision>2</cp:revision>
  <dcterms:created xsi:type="dcterms:W3CDTF">2018-06-19T11:31:00Z</dcterms:created>
  <dcterms:modified xsi:type="dcterms:W3CDTF">2018-06-19T11:31:00Z</dcterms:modified>
</cp:coreProperties>
</file>